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D5595">
      <w:pPr>
        <w:pStyle w:val="3"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zCs w:val="44"/>
        </w:rPr>
      </w:pPr>
      <w:r>
        <w:rPr>
          <w:rFonts w:hint="eastAsia" w:ascii="方正小标宋_GBK" w:hAnsi="方正小标宋_GBK" w:eastAsia="方正小标宋_GBK" w:cs="方正小标宋_GBK"/>
          <w:szCs w:val="44"/>
        </w:rPr>
        <w:t>科幻复合型人才培养</w:t>
      </w:r>
      <w:bookmarkStart w:id="7" w:name="_GoBack"/>
      <w:bookmarkEnd w:id="7"/>
      <w:r>
        <w:rPr>
          <w:rFonts w:hint="eastAsia" w:ascii="方正小标宋_GBK" w:hAnsi="方正小标宋_GBK" w:eastAsia="方正小标宋_GBK" w:cs="方正小标宋_GBK"/>
          <w:szCs w:val="44"/>
        </w:rPr>
        <w:t>计划资金管理办法</w:t>
      </w:r>
    </w:p>
    <w:p w14:paraId="4D093C39">
      <w:pPr>
        <w:spacing w:line="560" w:lineRule="exact"/>
        <w:jc w:val="center"/>
        <w:rPr>
          <w:rFonts w:hint="eastAsia" w:ascii="楷体_GB2312" w:hAnsi="方正大标宋简体" w:eastAsia="楷体_GB2312"/>
          <w:sz w:val="32"/>
          <w:szCs w:val="24"/>
        </w:rPr>
      </w:pPr>
    </w:p>
    <w:p w14:paraId="765843BA">
      <w:pPr>
        <w:spacing w:line="560" w:lineRule="exact"/>
        <w:ind w:firstLine="640" w:firstLineChars="200"/>
        <w:rPr>
          <w:rFonts w:hint="eastAsia" w:ascii="仿宋_GB2312" w:hAnsi="仿宋" w:eastAsia="仿宋_GB2312"/>
          <w:kern w:val="0"/>
          <w:sz w:val="32"/>
          <w:szCs w:val="24"/>
        </w:rPr>
      </w:pPr>
      <w:r>
        <w:rPr>
          <w:rFonts w:hint="eastAsia" w:ascii="黑体" w:hAnsi="黑体" w:eastAsia="黑体"/>
          <w:kern w:val="0"/>
          <w:sz w:val="32"/>
          <w:szCs w:val="24"/>
        </w:rPr>
        <w:t xml:space="preserve">第一条  </w:t>
      </w:r>
      <w:r>
        <w:rPr>
          <w:rFonts w:hint="eastAsia" w:ascii="仿宋_GB2312" w:hAnsi="仿宋" w:eastAsia="仿宋_GB2312"/>
          <w:kern w:val="0"/>
          <w:sz w:val="32"/>
          <w:szCs w:val="24"/>
        </w:rPr>
        <w:t>为规范科幻专项支持项目资金管理，提高资金使用效益，根据国家、北京市相关文件精神，结合本项目实际情况，制定本办法。</w:t>
      </w:r>
    </w:p>
    <w:p w14:paraId="332B1B6D"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4"/>
        </w:rPr>
      </w:pPr>
      <w:r>
        <w:rPr>
          <w:rFonts w:hint="eastAsia" w:ascii="黑体" w:hAnsi="黑体" w:eastAsia="黑体"/>
          <w:kern w:val="0"/>
          <w:sz w:val="32"/>
          <w:szCs w:val="24"/>
        </w:rPr>
        <w:t xml:space="preserve">第二条  </w:t>
      </w:r>
      <w:r>
        <w:rPr>
          <w:rFonts w:hint="eastAsia" w:ascii="仿宋_GB2312" w:hAnsi="仿宋" w:eastAsia="仿宋_GB2312"/>
          <w:kern w:val="0"/>
          <w:sz w:val="32"/>
          <w:szCs w:val="24"/>
        </w:rPr>
        <w:t>项目</w:t>
      </w:r>
      <w:r>
        <w:rPr>
          <w:rFonts w:hint="eastAsia" w:ascii="仿宋_GB2312" w:hAnsi="仿宋_GB2312" w:eastAsia="仿宋_GB2312"/>
          <w:kern w:val="0"/>
          <w:sz w:val="32"/>
          <w:szCs w:val="24"/>
        </w:rPr>
        <w:t>实施采取“统一标准，公平公正，普惠扶持，择优竞争，重视管理，追绩问效”的方式进行。</w:t>
      </w:r>
    </w:p>
    <w:p w14:paraId="17C7EAF5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黑体" w:hAnsi="黑体" w:eastAsia="黑体"/>
          <w:kern w:val="0"/>
          <w:sz w:val="32"/>
          <w:szCs w:val="24"/>
        </w:rPr>
        <w:t xml:space="preserve">第三条  </w:t>
      </w:r>
      <w:r>
        <w:rPr>
          <w:rFonts w:hint="eastAsia" w:ascii="仿宋_GB2312" w:hAnsi="仿宋_GB2312" w:eastAsia="仿宋_GB2312"/>
          <w:kern w:val="0"/>
          <w:sz w:val="32"/>
          <w:szCs w:val="24"/>
        </w:rPr>
        <w:t>资金按照定额资助，事前资助方式进行。获得资金资助的单位应将资助资金纳入单位财务统一管理，实行单独核算，确保专款专用，不得截留、挤占和挪用。</w:t>
      </w:r>
    </w:p>
    <w:p w14:paraId="6B8D81FB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黑体" w:hAnsi="黑体" w:eastAsia="黑体"/>
          <w:kern w:val="0"/>
          <w:sz w:val="32"/>
          <w:szCs w:val="24"/>
        </w:rPr>
        <w:t xml:space="preserve">第四条  </w:t>
      </w:r>
      <w:r>
        <w:rPr>
          <w:rFonts w:hint="eastAsia" w:ascii="仿宋_GB2312" w:hAnsi="仿宋" w:eastAsia="仿宋_GB2312"/>
          <w:kern w:val="0"/>
          <w:sz w:val="32"/>
          <w:szCs w:val="24"/>
        </w:rPr>
        <w:t>项目</w:t>
      </w:r>
      <w:r>
        <w:rPr>
          <w:rFonts w:hint="eastAsia" w:ascii="仿宋_GB2312" w:hAnsi="仿宋_GB2312" w:eastAsia="仿宋_GB2312"/>
          <w:kern w:val="0"/>
          <w:sz w:val="32"/>
          <w:szCs w:val="24"/>
        </w:rPr>
        <w:t>资助额度根据年度预算经费额度确定，支持</w:t>
      </w:r>
      <w:r>
        <w:rPr>
          <w:rFonts w:hint="eastAsia" w:ascii="仿宋_GB2312" w:hAnsi="仿宋_GB2312" w:eastAsia="仿宋_GB2312"/>
          <w:sz w:val="32"/>
          <w:szCs w:val="24"/>
        </w:rPr>
        <w:t>开展科幻主题活动、科幻资源创作等工作</w:t>
      </w:r>
      <w:r>
        <w:rPr>
          <w:rFonts w:hint="eastAsia" w:ascii="仿宋_GB2312" w:hAnsi="仿宋" w:eastAsia="仿宋_GB2312"/>
          <w:sz w:val="32"/>
          <w:szCs w:val="24"/>
        </w:rPr>
        <w:t>。</w:t>
      </w:r>
    </w:p>
    <w:p w14:paraId="2EC0773E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黑体" w:hAnsi="黑体" w:eastAsia="黑体"/>
          <w:kern w:val="0"/>
          <w:sz w:val="32"/>
          <w:szCs w:val="24"/>
        </w:rPr>
        <w:t xml:space="preserve">第五条  </w:t>
      </w:r>
      <w:r>
        <w:rPr>
          <w:rFonts w:hint="eastAsia" w:ascii="仿宋_GB2312" w:hAnsi="仿宋_GB2312" w:eastAsia="仿宋_GB2312"/>
          <w:kern w:val="0"/>
          <w:sz w:val="32"/>
          <w:szCs w:val="24"/>
        </w:rPr>
        <w:t>资金的支出范围包括：</w:t>
      </w:r>
    </w:p>
    <w:p w14:paraId="28AB3F25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/>
          <w:kern w:val="0"/>
          <w:sz w:val="32"/>
          <w:szCs w:val="24"/>
        </w:rPr>
        <w:t>（一）活动费。包括培训讲座费、展览活动费等。其中，培训讲座费是指为开展培训讲座过程中发生的聘请师资、租赁场地和设备、培训资料、伙食等费用；展览活动费是指举办科幻宣传、展览等活动过程中发生的场地和设备租赁、搭建、运输、宣传和劳务等费用。</w:t>
      </w:r>
    </w:p>
    <w:p w14:paraId="4CA23C11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/>
          <w:kern w:val="0"/>
          <w:sz w:val="32"/>
          <w:szCs w:val="24"/>
        </w:rPr>
        <w:t>（二）资源经费。包括资料费、制作费等。其中，资料费是指为开展科幻活动所需购买或制作图书、音像资料、宣传资料等纸质及数字化材料发生的费用；制作费是指视频、动漫、IP设计等编创与制作过程中所发生的设备租赁、道具制作与租赁、搭建、运输等费用。</w:t>
      </w:r>
    </w:p>
    <w:p w14:paraId="06E738E9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/>
          <w:kern w:val="0"/>
          <w:sz w:val="32"/>
          <w:szCs w:val="24"/>
        </w:rPr>
        <w:t>（三）其他费用。是指除上述各项费用支出以外的、开展科幻工作过程中所发生的相关费用。</w:t>
      </w:r>
    </w:p>
    <w:p w14:paraId="6F7F0939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黑体" w:hAnsi="黑体" w:eastAsia="黑体"/>
          <w:kern w:val="0"/>
          <w:sz w:val="32"/>
          <w:szCs w:val="24"/>
        </w:rPr>
        <w:t xml:space="preserve">第六条  </w:t>
      </w:r>
      <w:r>
        <w:rPr>
          <w:rFonts w:hint="eastAsia" w:ascii="仿宋_GB2312" w:hAnsi="仿宋_GB2312" w:eastAsia="仿宋_GB2312"/>
          <w:kern w:val="0"/>
          <w:sz w:val="32"/>
          <w:szCs w:val="24"/>
        </w:rPr>
        <w:t>资金不得用于以下支出：</w:t>
      </w:r>
    </w:p>
    <w:p w14:paraId="7791D3F4"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/>
          <w:kern w:val="0"/>
          <w:sz w:val="32"/>
          <w:szCs w:val="24"/>
        </w:rPr>
      </w:pPr>
      <w:bookmarkStart w:id="0" w:name="_Toc6040"/>
      <w:r>
        <w:rPr>
          <w:rFonts w:hint="eastAsia" w:ascii="仿宋_GB2312" w:hAnsi="仿宋_GB2312" w:eastAsia="仿宋_GB2312"/>
          <w:kern w:val="0"/>
          <w:sz w:val="32"/>
          <w:szCs w:val="24"/>
        </w:rPr>
        <w:t>（一）人员工资、福利和个人奖金支出。</w:t>
      </w:r>
      <w:bookmarkEnd w:id="0"/>
    </w:p>
    <w:p w14:paraId="307D2869"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/>
          <w:kern w:val="0"/>
          <w:sz w:val="32"/>
          <w:szCs w:val="24"/>
        </w:rPr>
      </w:pPr>
      <w:bookmarkStart w:id="1" w:name="_Toc9400"/>
      <w:r>
        <w:rPr>
          <w:rFonts w:hint="eastAsia" w:ascii="仿宋_GB2312" w:hAnsi="仿宋_GB2312" w:eastAsia="仿宋_GB2312"/>
          <w:kern w:val="0"/>
          <w:sz w:val="32"/>
          <w:szCs w:val="24"/>
        </w:rPr>
        <w:t>（二）日常办公、出国和业务招待支出。</w:t>
      </w:r>
      <w:bookmarkEnd w:id="1"/>
    </w:p>
    <w:p w14:paraId="4C8405DB"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/>
          <w:kern w:val="0"/>
          <w:sz w:val="32"/>
          <w:szCs w:val="24"/>
        </w:rPr>
      </w:pPr>
      <w:bookmarkStart w:id="2" w:name="_Toc26844"/>
      <w:r>
        <w:rPr>
          <w:rFonts w:hint="eastAsia" w:ascii="仿宋_GB2312" w:hAnsi="仿宋_GB2312" w:eastAsia="仿宋_GB2312"/>
          <w:kern w:val="0"/>
          <w:sz w:val="32"/>
          <w:szCs w:val="24"/>
        </w:rPr>
        <w:t>（三）办公设备设施的维修改造、新增办公设备支出。</w:t>
      </w:r>
      <w:bookmarkEnd w:id="2"/>
    </w:p>
    <w:p w14:paraId="7FE187DC"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/>
          <w:kern w:val="0"/>
          <w:sz w:val="32"/>
          <w:szCs w:val="24"/>
        </w:rPr>
      </w:pPr>
      <w:bookmarkStart w:id="3" w:name="_Toc23066"/>
      <w:r>
        <w:rPr>
          <w:rFonts w:hint="eastAsia" w:ascii="仿宋_GB2312" w:hAnsi="仿宋_GB2312" w:eastAsia="仿宋_GB2312"/>
          <w:kern w:val="0"/>
          <w:sz w:val="32"/>
          <w:szCs w:val="24"/>
        </w:rPr>
        <w:t>（四）组织、管理和协调等各种管理性费用支出。</w:t>
      </w:r>
      <w:bookmarkEnd w:id="3"/>
    </w:p>
    <w:p w14:paraId="0A25F2F1"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/>
          <w:kern w:val="0"/>
          <w:sz w:val="32"/>
          <w:szCs w:val="24"/>
        </w:rPr>
      </w:pPr>
      <w:bookmarkStart w:id="4" w:name="_Toc3285"/>
      <w:r>
        <w:rPr>
          <w:rFonts w:hint="eastAsia" w:ascii="仿宋_GB2312" w:hAnsi="仿宋_GB2312" w:eastAsia="仿宋_GB2312"/>
          <w:kern w:val="0"/>
          <w:sz w:val="32"/>
          <w:szCs w:val="24"/>
        </w:rPr>
        <w:t>（五）罚款、还贷、捐赠、赞助、对外投资支出。</w:t>
      </w:r>
      <w:bookmarkEnd w:id="4"/>
    </w:p>
    <w:p w14:paraId="6CE5D04E">
      <w:pPr>
        <w:spacing w:line="560" w:lineRule="exact"/>
        <w:ind w:firstLine="640" w:firstLineChars="200"/>
        <w:outlineLvl w:val="0"/>
        <w:rPr>
          <w:rFonts w:hint="eastAsia" w:ascii="仿宋_GB2312" w:hAnsi="仿宋_GB2312" w:eastAsia="仿宋_GB2312"/>
          <w:kern w:val="0"/>
          <w:sz w:val="32"/>
          <w:szCs w:val="24"/>
        </w:rPr>
      </w:pPr>
      <w:bookmarkStart w:id="5" w:name="_Toc25333"/>
      <w:r>
        <w:rPr>
          <w:rFonts w:hint="eastAsia" w:ascii="仿宋_GB2312" w:hAnsi="仿宋_GB2312" w:eastAsia="仿宋_GB2312"/>
          <w:kern w:val="0"/>
          <w:sz w:val="32"/>
          <w:szCs w:val="24"/>
        </w:rPr>
        <w:t>（六）</w:t>
      </w:r>
      <w:r>
        <w:rPr>
          <w:rFonts w:hint="eastAsia" w:ascii="仿宋_GB2312" w:hAnsi="仿宋" w:eastAsia="仿宋_GB2312"/>
          <w:kern w:val="0"/>
          <w:sz w:val="32"/>
          <w:szCs w:val="24"/>
        </w:rPr>
        <w:t>形成固定资产的设施设备支出。</w:t>
      </w:r>
      <w:bookmarkEnd w:id="5"/>
    </w:p>
    <w:p w14:paraId="4775287C">
      <w:pPr>
        <w:spacing w:line="560" w:lineRule="exact"/>
        <w:ind w:firstLine="600"/>
        <w:outlineLvl w:val="0"/>
        <w:rPr>
          <w:rFonts w:hint="eastAsia" w:ascii="仿宋_GB2312" w:hAnsi="仿宋" w:eastAsia="仿宋_GB2312"/>
          <w:kern w:val="0"/>
          <w:sz w:val="32"/>
          <w:szCs w:val="24"/>
        </w:rPr>
      </w:pPr>
      <w:bookmarkStart w:id="6" w:name="_Toc20621"/>
      <w:r>
        <w:rPr>
          <w:rFonts w:hint="eastAsia" w:ascii="仿宋_GB2312" w:hAnsi="仿宋" w:eastAsia="仿宋_GB2312"/>
          <w:kern w:val="0"/>
          <w:sz w:val="32"/>
          <w:szCs w:val="24"/>
        </w:rPr>
        <w:t>（七）已获得本年度财政经费资助内容。</w:t>
      </w:r>
    </w:p>
    <w:p w14:paraId="749F0977">
      <w:pPr>
        <w:spacing w:line="560" w:lineRule="exact"/>
        <w:ind w:firstLine="600"/>
        <w:outlineLvl w:val="0"/>
        <w:rPr>
          <w:rFonts w:hint="eastAsia" w:ascii="仿宋_GB2312" w:hAnsi="宋体" w:eastAsia="仿宋_GB2312"/>
          <w:sz w:val="32"/>
          <w:szCs w:val="24"/>
        </w:rPr>
      </w:pPr>
      <w:r>
        <w:rPr>
          <w:rFonts w:hint="eastAsia" w:ascii="仿宋_GB2312" w:hAnsi="仿宋_GB2312" w:eastAsia="仿宋_GB2312"/>
          <w:kern w:val="0"/>
          <w:sz w:val="32"/>
          <w:szCs w:val="24"/>
        </w:rPr>
        <w:t>（八）与科幻活动无关的其他支出。</w:t>
      </w:r>
      <w:bookmarkEnd w:id="6"/>
    </w:p>
    <w:p w14:paraId="143B1411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黑体" w:hAnsi="黑体" w:eastAsia="黑体"/>
          <w:kern w:val="0"/>
          <w:sz w:val="32"/>
          <w:szCs w:val="24"/>
        </w:rPr>
        <w:t xml:space="preserve">第七条  </w:t>
      </w:r>
      <w:r>
        <w:rPr>
          <w:rFonts w:hint="eastAsia" w:ascii="仿宋_GB2312" w:hAnsi="仿宋_GB2312" w:eastAsia="仿宋_GB2312"/>
          <w:kern w:val="0"/>
          <w:sz w:val="32"/>
          <w:szCs w:val="24"/>
        </w:rPr>
        <w:t>项目资金预算的申报审核程序按照《北京科幻专项行动实施方案》规定的组织实施程序执行。</w:t>
      </w:r>
    </w:p>
    <w:p w14:paraId="397D9124">
      <w:pPr>
        <w:spacing w:line="560" w:lineRule="exact"/>
        <w:ind w:firstLine="640" w:firstLineChars="200"/>
        <w:rPr>
          <w:rFonts w:hint="eastAsia" w:ascii="仿宋" w:hAnsi="仿宋" w:eastAsia="仿宋"/>
          <w:kern w:val="0"/>
          <w:sz w:val="32"/>
          <w:szCs w:val="24"/>
        </w:rPr>
      </w:pPr>
      <w:r>
        <w:rPr>
          <w:rFonts w:hint="eastAsia" w:ascii="黑体" w:hAnsi="黑体" w:eastAsia="黑体"/>
          <w:kern w:val="0"/>
          <w:sz w:val="32"/>
          <w:szCs w:val="24"/>
        </w:rPr>
        <w:t xml:space="preserve">第八条  </w:t>
      </w:r>
      <w:r>
        <w:rPr>
          <w:rFonts w:hint="eastAsia" w:ascii="仿宋_GB2312" w:hAnsi="仿宋_GB2312" w:eastAsia="仿宋_GB2312"/>
          <w:kern w:val="0"/>
          <w:sz w:val="32"/>
          <w:szCs w:val="24"/>
        </w:rPr>
        <w:t>获得资金资助的单位，可以在资金中列支获资助后年度内发生的费用，且获资助经费在年度内执行完毕。如有结余，北京市科协将收回结余经费。</w:t>
      </w:r>
    </w:p>
    <w:p w14:paraId="2135D810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黑体" w:hAnsi="黑体" w:eastAsia="黑体"/>
          <w:kern w:val="0"/>
          <w:sz w:val="32"/>
          <w:szCs w:val="24"/>
        </w:rPr>
        <w:t xml:space="preserve">第九条  </w:t>
      </w:r>
      <w:r>
        <w:rPr>
          <w:rFonts w:hint="eastAsia" w:ascii="仿宋_GB2312" w:hAnsi="仿宋_GB2312" w:eastAsia="仿宋_GB2312"/>
          <w:kern w:val="0"/>
          <w:sz w:val="32"/>
          <w:szCs w:val="24"/>
        </w:rPr>
        <w:t>获得资金资助的单位应当严格按照项目预算执行，不得自行调整。执行过程中确因实施条件与项目申报时发生重大变化需调整的，应当向北京市科协申请预算调整。</w:t>
      </w:r>
    </w:p>
    <w:p w14:paraId="29AEAA51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黑体" w:hAnsi="黑体" w:eastAsia="黑体"/>
          <w:kern w:val="0"/>
          <w:sz w:val="32"/>
          <w:szCs w:val="24"/>
        </w:rPr>
        <w:t xml:space="preserve">第十条  </w:t>
      </w:r>
      <w:r>
        <w:rPr>
          <w:rFonts w:hint="eastAsia" w:ascii="仿宋_GB2312" w:hAnsi="仿宋_GB2312" w:eastAsia="仿宋_GB2312"/>
          <w:kern w:val="0"/>
          <w:sz w:val="32"/>
          <w:szCs w:val="24"/>
        </w:rPr>
        <w:t>北京市科协对资金使用情况进行检查和监督，于年底前组织专家对项目绩效完成情况进行检查验收。</w:t>
      </w:r>
    </w:p>
    <w:p w14:paraId="2CC8AA5C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黑体" w:hAnsi="黑体" w:eastAsia="黑体"/>
          <w:kern w:val="0"/>
          <w:sz w:val="32"/>
          <w:szCs w:val="24"/>
        </w:rPr>
        <w:t xml:space="preserve">第十一条  </w:t>
      </w:r>
      <w:r>
        <w:rPr>
          <w:rFonts w:hint="eastAsia" w:ascii="仿宋_GB2312" w:hAnsi="仿宋_GB2312" w:eastAsia="仿宋_GB2312"/>
          <w:kern w:val="0"/>
          <w:sz w:val="32"/>
          <w:szCs w:val="24"/>
        </w:rPr>
        <w:t>有下列行为之一的，北京市科协将追回其相应资金，在后续三年内取消其申报资格，并依据《财政违法行为处罚处分条例》的规定提请有关部门进行处理。对于其他违法违规行为，由有关部门按照相关法律法规进行处理处分。</w:t>
      </w:r>
    </w:p>
    <w:p w14:paraId="293C6975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/>
          <w:kern w:val="0"/>
          <w:sz w:val="32"/>
          <w:szCs w:val="24"/>
        </w:rPr>
        <w:t>（一）提供虚假财务会计信息，虚列支出。</w:t>
      </w:r>
    </w:p>
    <w:p w14:paraId="0DA685C6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/>
          <w:kern w:val="0"/>
          <w:sz w:val="32"/>
          <w:szCs w:val="24"/>
        </w:rPr>
        <w:t>（二）截留、挤占、挪用资金。</w:t>
      </w:r>
    </w:p>
    <w:p w14:paraId="4866AF5B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/>
          <w:kern w:val="0"/>
          <w:sz w:val="32"/>
          <w:szCs w:val="24"/>
        </w:rPr>
        <w:t>（三）未对项目经费进行单独核算。</w:t>
      </w:r>
    </w:p>
    <w:p w14:paraId="26621944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/>
          <w:kern w:val="0"/>
          <w:sz w:val="32"/>
          <w:szCs w:val="24"/>
        </w:rPr>
        <w:t>（四）失职致使计划无法实施，造成不良影响。</w:t>
      </w:r>
    </w:p>
    <w:p w14:paraId="1C700C10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/>
          <w:kern w:val="0"/>
          <w:sz w:val="32"/>
          <w:szCs w:val="24"/>
        </w:rPr>
        <w:t>（五）无正当理由经费不能及时支付到用款单位和个人。</w:t>
      </w:r>
    </w:p>
    <w:p w14:paraId="118B8ACC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仿宋_GB2312" w:hAnsi="仿宋_GB2312" w:eastAsia="仿宋_GB2312"/>
          <w:kern w:val="0"/>
          <w:sz w:val="32"/>
          <w:szCs w:val="24"/>
        </w:rPr>
        <w:t>（六）擅自变更项目承担主体，未获北京市科协批准。</w:t>
      </w:r>
    </w:p>
    <w:p w14:paraId="31586470"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/>
          <w:kern w:val="0"/>
          <w:sz w:val="32"/>
          <w:szCs w:val="24"/>
        </w:rPr>
        <w:t>（七）其他违反国家有关法律法规的行为。</w:t>
      </w:r>
    </w:p>
    <w:p w14:paraId="2711FC99">
      <w:pPr>
        <w:spacing w:line="560" w:lineRule="exact"/>
        <w:ind w:firstLine="640" w:firstLineChars="200"/>
        <w:rPr>
          <w:rFonts w:hint="eastAsia" w:ascii="仿宋_GB2312" w:hAnsi="仿宋_GB2312" w:eastAsia="仿宋_GB2312"/>
          <w:kern w:val="0"/>
          <w:sz w:val="32"/>
          <w:szCs w:val="24"/>
        </w:rPr>
      </w:pPr>
      <w:r>
        <w:rPr>
          <w:rFonts w:hint="eastAsia" w:ascii="黑体" w:hAnsi="黑体" w:eastAsia="黑体"/>
          <w:kern w:val="0"/>
          <w:sz w:val="32"/>
          <w:szCs w:val="24"/>
        </w:rPr>
        <w:t xml:space="preserve">第十二条  </w:t>
      </w:r>
      <w:r>
        <w:rPr>
          <w:rFonts w:hint="eastAsia" w:ascii="仿宋_GB2312" w:hAnsi="仿宋_GB2312" w:eastAsia="仿宋_GB2312"/>
          <w:kern w:val="0"/>
          <w:sz w:val="32"/>
          <w:szCs w:val="24"/>
        </w:rPr>
        <w:t>本办法由北京市科协负责解释。</w:t>
      </w:r>
    </w:p>
    <w:p w14:paraId="7814403C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24"/>
        </w:rPr>
      </w:pPr>
      <w:r>
        <w:rPr>
          <w:rFonts w:hint="eastAsia" w:ascii="黑体" w:hAnsi="黑体" w:eastAsia="黑体"/>
          <w:kern w:val="0"/>
          <w:sz w:val="32"/>
          <w:szCs w:val="24"/>
        </w:rPr>
        <w:t xml:space="preserve">第十三条  </w:t>
      </w:r>
      <w:r>
        <w:rPr>
          <w:rFonts w:hint="eastAsia" w:ascii="仿宋_GB2312" w:hAnsi="仿宋_GB2312" w:eastAsia="仿宋_GB2312"/>
          <w:kern w:val="0"/>
          <w:sz w:val="32"/>
          <w:szCs w:val="24"/>
        </w:rPr>
        <w:t>本办法自发布之日起施行。</w:t>
      </w:r>
    </w:p>
    <w:p w14:paraId="56BB12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zE4ZWYxMzg5YzFiMDA2NDViNmE4NTgzOWMyMjUifQ=="/>
  </w:docVars>
  <w:rsids>
    <w:rsidRoot w:val="00000000"/>
    <w:rsid w:val="011765F0"/>
    <w:rsid w:val="393D2C48"/>
    <w:rsid w:val="52B753C1"/>
    <w:rsid w:val="6CDA788A"/>
    <w:rsid w:val="76A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480" w:after="80"/>
      <w:jc w:val="left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2025-01-14T01:48:35Z</dcterms:created>
  <dc:creator>acer</dc:creator>
  <cp:lastModifiedBy>Stefanie</cp:lastModifiedBy>
  <dcterms:modified xsi:type="dcterms:W3CDTF">2025-01-14T01:49:11Z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C43E03903CEC4B47849AF4EE0F8D263F_12</vt:lpwstr>
  </property>
</Properties>
</file>