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29D" w:rsidRDefault="009534C6">
      <w:pPr>
        <w:spacing w:line="600" w:lineRule="exact"/>
        <w:ind w:firstLine="720"/>
        <w:jc w:val="center"/>
        <w:rPr>
          <w:rFonts w:ascii="华文中宋" w:eastAsia="华文中宋" w:hAnsi="华文中宋" w:cs="华文中宋"/>
          <w:sz w:val="36"/>
          <w:szCs w:val="36"/>
        </w:rPr>
      </w:pPr>
      <w:r>
        <w:rPr>
          <w:rFonts w:ascii="华文中宋" w:eastAsia="华文中宋" w:hAnsi="华文中宋" w:cs="华文中宋" w:hint="eastAsia"/>
          <w:sz w:val="36"/>
          <w:szCs w:val="36"/>
        </w:rPr>
        <w:t>2025</w:t>
      </w:r>
      <w:r>
        <w:rPr>
          <w:rFonts w:ascii="华文中宋" w:eastAsia="华文中宋" w:hAnsi="华文中宋" w:cs="华文中宋" w:hint="eastAsia"/>
          <w:sz w:val="36"/>
          <w:szCs w:val="36"/>
        </w:rPr>
        <w:t>年度全国教育科学规划终身教育体系</w:t>
      </w:r>
    </w:p>
    <w:p w:rsidR="0083129D" w:rsidRDefault="009534C6">
      <w:pPr>
        <w:spacing w:line="600" w:lineRule="exact"/>
        <w:ind w:firstLine="720"/>
        <w:jc w:val="center"/>
        <w:rPr>
          <w:rFonts w:ascii="华文中宋" w:eastAsia="华文中宋" w:hAnsi="华文中宋" w:cs="华文中宋"/>
          <w:sz w:val="36"/>
          <w:szCs w:val="36"/>
        </w:rPr>
      </w:pPr>
      <w:r>
        <w:rPr>
          <w:rFonts w:ascii="华文中宋" w:eastAsia="华文中宋" w:hAnsi="华文中宋" w:cs="华文中宋" w:hint="eastAsia"/>
          <w:sz w:val="36"/>
          <w:szCs w:val="36"/>
        </w:rPr>
        <w:t>研究专</w:t>
      </w:r>
      <w:bookmarkStart w:id="0" w:name="_GoBack"/>
      <w:bookmarkEnd w:id="0"/>
      <w:r>
        <w:rPr>
          <w:rFonts w:ascii="华文中宋" w:eastAsia="华文中宋" w:hAnsi="华文中宋" w:cs="华文中宋" w:hint="eastAsia"/>
          <w:sz w:val="36"/>
          <w:szCs w:val="36"/>
        </w:rPr>
        <w:t>项指南</w:t>
      </w:r>
    </w:p>
    <w:p w:rsidR="0083129D" w:rsidRDefault="0083129D">
      <w:pPr>
        <w:ind w:firstLine="600"/>
      </w:pPr>
    </w:p>
    <w:p w:rsidR="0083129D" w:rsidRDefault="009534C6">
      <w:pPr>
        <w:ind w:firstLine="600"/>
      </w:pPr>
      <w:r>
        <w:rPr>
          <w:rFonts w:hint="eastAsia"/>
        </w:rPr>
        <w:t>终身教育体系研究专项包括重大、重点和一般项目。申报重大和重点项目必</w:t>
      </w:r>
      <w:r>
        <w:t>须从指南中选题，</w:t>
      </w:r>
      <w:r>
        <w:rPr>
          <w:rFonts w:hint="eastAsia"/>
        </w:rPr>
        <w:t>并</w:t>
      </w:r>
      <w:r>
        <w:t>按照指南意图</w:t>
      </w:r>
      <w:r>
        <w:rPr>
          <w:rFonts w:hint="eastAsia"/>
        </w:rPr>
        <w:t>进行研究设计。一般项目可对指南中的题目进行适当微调，但不得大幅改变题目中的关键词。研究期限为</w:t>
      </w:r>
      <w:r>
        <w:rPr>
          <w:rFonts w:hint="eastAsia"/>
        </w:rPr>
        <w:t>2-3</w:t>
      </w:r>
      <w:r>
        <w:rPr>
          <w:rFonts w:hint="eastAsia"/>
        </w:rPr>
        <w:t>年，不得延期。每个选题原则上只确立</w:t>
      </w:r>
      <w:r>
        <w:rPr>
          <w:rFonts w:hint="eastAsia"/>
        </w:rPr>
        <w:t>1</w:t>
      </w:r>
      <w:r>
        <w:rPr>
          <w:rFonts w:hint="eastAsia"/>
        </w:rPr>
        <w:t>个立项项目。</w:t>
      </w:r>
    </w:p>
    <w:p w:rsidR="0083129D" w:rsidRDefault="0083129D">
      <w:pPr>
        <w:ind w:firstLine="600"/>
      </w:pPr>
    </w:p>
    <w:p w:rsidR="0083129D" w:rsidRDefault="009534C6">
      <w:pPr>
        <w:spacing w:line="600" w:lineRule="exact"/>
        <w:ind w:firstLine="640"/>
        <w:jc w:val="left"/>
        <w:rPr>
          <w:rFonts w:ascii="华文中宋" w:eastAsia="华文中宋" w:hAnsi="华文中宋" w:cs="华文中宋"/>
          <w:sz w:val="32"/>
          <w:szCs w:val="32"/>
        </w:rPr>
      </w:pPr>
      <w:r>
        <w:rPr>
          <w:rFonts w:ascii="华文中宋" w:eastAsia="华文中宋" w:hAnsi="华文中宋" w:cs="华文中宋" w:hint="eastAsia"/>
          <w:sz w:val="32"/>
          <w:szCs w:val="32"/>
        </w:rPr>
        <w:t>1.</w:t>
      </w:r>
      <w:r>
        <w:rPr>
          <w:rFonts w:ascii="华文中宋" w:eastAsia="华文中宋" w:hAnsi="华文中宋" w:cs="华文中宋" w:hint="eastAsia"/>
          <w:sz w:val="32"/>
          <w:szCs w:val="32"/>
        </w:rPr>
        <w:t>数智赋能</w:t>
      </w:r>
      <w:r>
        <w:rPr>
          <w:rFonts w:ascii="华文中宋" w:eastAsia="华文中宋" w:hAnsi="华文中宋" w:cs="华文中宋"/>
          <w:sz w:val="32"/>
          <w:szCs w:val="32"/>
        </w:rPr>
        <w:t>泛在可及的终身教育体</w:t>
      </w:r>
      <w:r>
        <w:rPr>
          <w:rFonts w:ascii="华文中宋" w:eastAsia="华文中宋" w:hAnsi="华文中宋" w:cs="华文中宋" w:hint="eastAsia"/>
          <w:sz w:val="32"/>
          <w:szCs w:val="32"/>
        </w:rPr>
        <w:t>系构建</w:t>
      </w:r>
      <w:r>
        <w:rPr>
          <w:rFonts w:ascii="华文中宋" w:eastAsia="华文中宋" w:hAnsi="华文中宋" w:cs="华文中宋"/>
          <w:sz w:val="32"/>
          <w:szCs w:val="32"/>
        </w:rPr>
        <w:t>研究</w:t>
      </w:r>
      <w:r>
        <w:rPr>
          <w:rFonts w:ascii="华文中宋" w:eastAsia="华文中宋" w:hAnsi="华文中宋" w:cs="华文中宋" w:hint="eastAsia"/>
          <w:sz w:val="32"/>
          <w:szCs w:val="32"/>
        </w:rPr>
        <w:t>（重大）</w:t>
      </w:r>
    </w:p>
    <w:p w:rsidR="0083129D" w:rsidRDefault="009534C6">
      <w:pPr>
        <w:ind w:firstLine="601"/>
      </w:pPr>
      <w:r>
        <w:rPr>
          <w:rFonts w:eastAsia="楷体_GB2312" w:hint="eastAsia"/>
          <w:b/>
          <w:bCs/>
        </w:rPr>
        <w:t>指南意图：</w:t>
      </w:r>
      <w:r>
        <w:rPr>
          <w:rFonts w:ascii="Calibri" w:hAnsi="Calibri" w:cs="Calibri" w:hint="eastAsia"/>
        </w:rPr>
        <w:t>（</w:t>
      </w:r>
      <w:r>
        <w:rPr>
          <w:rFonts w:ascii="Calibri" w:hAnsi="Calibri" w:cs="Calibri"/>
        </w:rPr>
        <w:t>1</w:t>
      </w:r>
      <w:r>
        <w:rPr>
          <w:rFonts w:ascii="Calibri" w:hAnsi="Calibri" w:cs="Calibri" w:hint="eastAsia"/>
        </w:rPr>
        <w:t>）开展数智赋能终身教育体系国际比较研究和大规模实践调研；</w:t>
      </w:r>
      <w:r>
        <w:rPr>
          <w:rFonts w:hint="eastAsia"/>
        </w:rPr>
        <w:t>（</w:t>
      </w:r>
      <w:r>
        <w:t>2</w:t>
      </w:r>
      <w:r>
        <w:rPr>
          <w:rFonts w:hint="eastAsia"/>
        </w:rPr>
        <w:t>）</w:t>
      </w:r>
      <w:r>
        <w:rPr>
          <w:rFonts w:ascii="Calibri" w:hAnsi="Calibri" w:cs="Calibri" w:hint="eastAsia"/>
        </w:rPr>
        <w:t>研究泛在可及的终身教育体系的内涵、特征以及数智时代终身教育的支撑体系；（</w:t>
      </w:r>
      <w:r>
        <w:rPr>
          <w:rFonts w:ascii="Calibri" w:hAnsi="Calibri" w:cs="Calibri"/>
        </w:rPr>
        <w:t>3</w:t>
      </w:r>
      <w:r>
        <w:rPr>
          <w:rFonts w:ascii="Calibri" w:hAnsi="Calibri" w:cs="Calibri" w:hint="eastAsia"/>
        </w:rPr>
        <w:t>）</w:t>
      </w:r>
      <w:r>
        <w:rPr>
          <w:rFonts w:hint="eastAsia"/>
        </w:rPr>
        <w:t>研究终身教育体系的政策供给和保障制度</w:t>
      </w:r>
      <w:r>
        <w:rPr>
          <w:rFonts w:ascii="Calibri" w:hAnsi="Calibri" w:cs="Calibri" w:hint="eastAsia"/>
        </w:rPr>
        <w:t>；</w:t>
      </w:r>
      <w:r>
        <w:rPr>
          <w:rFonts w:hint="eastAsia"/>
        </w:rPr>
        <w:t>（</w:t>
      </w:r>
      <w:r>
        <w:t>4</w:t>
      </w:r>
      <w:r>
        <w:rPr>
          <w:rFonts w:hint="eastAsia"/>
        </w:rPr>
        <w:t>）研究</w:t>
      </w:r>
      <w:r>
        <w:rPr>
          <w:rFonts w:ascii="Calibri" w:hAnsi="Calibri" w:cs="Calibri" w:hint="eastAsia"/>
        </w:rPr>
        <w:t>支撑终身教育体系的</w:t>
      </w:r>
      <w:r>
        <w:rPr>
          <w:rFonts w:hint="eastAsia"/>
        </w:rPr>
        <w:t>数字基础设施以及建设标准；（</w:t>
      </w:r>
      <w:r>
        <w:t>5</w:t>
      </w:r>
      <w:r>
        <w:rPr>
          <w:rFonts w:hint="eastAsia"/>
        </w:rPr>
        <w:t>）研究与</w:t>
      </w:r>
      <w:r>
        <w:t>终身学习</w:t>
      </w:r>
      <w:r>
        <w:rPr>
          <w:rFonts w:hint="eastAsia"/>
        </w:rPr>
        <w:t>相适应</w:t>
      </w:r>
      <w:r>
        <w:t>的</w:t>
      </w:r>
      <w:r>
        <w:rPr>
          <w:rFonts w:hint="eastAsia"/>
        </w:rPr>
        <w:t>证书体系和</w:t>
      </w:r>
      <w:r>
        <w:t>学制学位新体系</w:t>
      </w:r>
      <w:r>
        <w:rPr>
          <w:rFonts w:hint="eastAsia"/>
        </w:rPr>
        <w:t>；（</w:t>
      </w:r>
      <w:r>
        <w:t>6</w:t>
      </w:r>
      <w:r>
        <w:rPr>
          <w:rFonts w:hint="eastAsia"/>
        </w:rPr>
        <w:t>）</w:t>
      </w:r>
      <w:r>
        <w:rPr>
          <w:rFonts w:ascii="Calibri" w:hAnsi="Calibri" w:cs="Calibri" w:hint="eastAsia"/>
        </w:rPr>
        <w:t>研究</w:t>
      </w:r>
      <w:r>
        <w:rPr>
          <w:rFonts w:hint="eastAsia"/>
        </w:rPr>
        <w:t>提出数智赋能终身教育助力学习型社会建设的政策建议。</w:t>
      </w:r>
    </w:p>
    <w:p w:rsidR="0083129D" w:rsidRDefault="009534C6">
      <w:pPr>
        <w:spacing w:line="600" w:lineRule="exact"/>
        <w:ind w:firstLine="640"/>
        <w:jc w:val="left"/>
        <w:rPr>
          <w:rFonts w:ascii="华文中宋" w:eastAsia="华文中宋" w:hAnsi="华文中宋" w:cs="华文中宋"/>
          <w:sz w:val="32"/>
          <w:szCs w:val="32"/>
        </w:rPr>
      </w:pPr>
      <w:r>
        <w:rPr>
          <w:rFonts w:ascii="华文中宋" w:eastAsia="华文中宋" w:hAnsi="华文中宋" w:cs="华文中宋" w:hint="eastAsia"/>
          <w:sz w:val="32"/>
          <w:szCs w:val="32"/>
        </w:rPr>
        <w:t>2.</w:t>
      </w:r>
      <w:r>
        <w:rPr>
          <w:rFonts w:ascii="华文中宋" w:eastAsia="华文中宋" w:hAnsi="华文中宋" w:cs="华文中宋" w:hint="eastAsia"/>
          <w:sz w:val="32"/>
          <w:szCs w:val="32"/>
        </w:rPr>
        <w:t>完善国家开放大学体系路径与机制研究（重点）</w:t>
      </w:r>
    </w:p>
    <w:p w:rsidR="0083129D" w:rsidRDefault="009534C6">
      <w:pPr>
        <w:ind w:firstLine="601"/>
      </w:pPr>
      <w:r>
        <w:rPr>
          <w:rFonts w:eastAsia="楷体_GB2312" w:hint="eastAsia"/>
          <w:b/>
          <w:bCs/>
        </w:rPr>
        <w:t>指南意图：</w:t>
      </w:r>
      <w:r>
        <w:rPr>
          <w:rFonts w:hint="eastAsia"/>
        </w:rPr>
        <w:t>（</w:t>
      </w:r>
      <w:r>
        <w:rPr>
          <w:rFonts w:hint="eastAsia"/>
        </w:rPr>
        <w:t>1</w:t>
      </w:r>
      <w:r>
        <w:rPr>
          <w:rFonts w:hint="eastAsia"/>
        </w:rPr>
        <w:t>）调研“两级统筹、四级办学”体系特征与运行现状，</w:t>
      </w:r>
      <w:r>
        <w:rPr>
          <w:rFonts w:ascii="Calibri" w:hAnsi="Calibri" w:cs="Calibri" w:hint="eastAsia"/>
        </w:rPr>
        <w:t>采集和分析四级办学体系的核心数据；</w:t>
      </w:r>
      <w:r>
        <w:rPr>
          <w:rFonts w:hint="eastAsia"/>
        </w:rPr>
        <w:t>（</w:t>
      </w:r>
      <w:r>
        <w:rPr>
          <w:rFonts w:hint="eastAsia"/>
        </w:rPr>
        <w:t>2</w:t>
      </w:r>
      <w:r>
        <w:rPr>
          <w:rFonts w:hint="eastAsia"/>
        </w:rPr>
        <w:t>）</w:t>
      </w:r>
      <w:r>
        <w:t>研制</w:t>
      </w:r>
      <w:r>
        <w:rPr>
          <w:rFonts w:ascii="Calibri" w:hAnsi="Calibri" w:cs="Calibri" w:hint="eastAsia"/>
        </w:rPr>
        <w:t>与</w:t>
      </w:r>
      <w:r>
        <w:rPr>
          <w:rFonts w:hint="eastAsia"/>
        </w:rPr>
        <w:t>数字赋能一体化协同推进开放大学教育教学综合改革</w:t>
      </w:r>
      <w:r>
        <w:rPr>
          <w:rFonts w:ascii="Calibri" w:hAnsi="Calibri" w:cs="Calibri" w:hint="eastAsia"/>
        </w:rPr>
        <w:t>相适应的</w:t>
      </w:r>
      <w:r>
        <w:rPr>
          <w:rFonts w:hint="eastAsia"/>
        </w:rPr>
        <w:t>四级办学基本条件指标；（</w:t>
      </w:r>
      <w:r>
        <w:rPr>
          <w:rFonts w:hint="eastAsia"/>
        </w:rPr>
        <w:t>3</w:t>
      </w:r>
      <w:r>
        <w:rPr>
          <w:rFonts w:hint="eastAsia"/>
        </w:rPr>
        <w:t>）研究</w:t>
      </w:r>
      <w:r>
        <w:rPr>
          <w:rFonts w:ascii="Calibri" w:hAnsi="Calibri" w:cs="Calibri" w:hint="eastAsia"/>
        </w:rPr>
        <w:t>开放大学</w:t>
      </w:r>
      <w:r>
        <w:rPr>
          <w:rFonts w:hint="eastAsia"/>
        </w:rPr>
        <w:t>体系治理模式和一体</w:t>
      </w:r>
      <w:r>
        <w:rPr>
          <w:rFonts w:ascii="Calibri" w:hAnsi="Calibri" w:cs="Calibri" w:hint="eastAsia"/>
        </w:rPr>
        <w:t>化</w:t>
      </w:r>
      <w:r>
        <w:rPr>
          <w:rFonts w:hint="eastAsia"/>
        </w:rPr>
        <w:t>协同发展的有效机制；（</w:t>
      </w:r>
      <w:r>
        <w:rPr>
          <w:rFonts w:hint="eastAsia"/>
        </w:rPr>
        <w:t>4</w:t>
      </w:r>
      <w:r>
        <w:rPr>
          <w:rFonts w:hint="eastAsia"/>
        </w:rPr>
        <w:t>）提出完善国家开放大学体系的</w:t>
      </w:r>
      <w:r>
        <w:rPr>
          <w:rFonts w:ascii="Calibri" w:hAnsi="Calibri" w:cs="Calibri" w:hint="eastAsia"/>
        </w:rPr>
        <w:t>政策建议</w:t>
      </w:r>
      <w:r>
        <w:rPr>
          <w:rFonts w:hint="eastAsia"/>
        </w:rPr>
        <w:t>。</w:t>
      </w:r>
    </w:p>
    <w:p w:rsidR="0083129D" w:rsidRDefault="009534C6">
      <w:pPr>
        <w:spacing w:line="600" w:lineRule="exact"/>
        <w:ind w:firstLine="640"/>
        <w:jc w:val="left"/>
        <w:rPr>
          <w:rFonts w:ascii="华文中宋" w:eastAsia="华文中宋" w:hAnsi="华文中宋" w:cs="华文中宋"/>
          <w:sz w:val="32"/>
          <w:szCs w:val="32"/>
        </w:rPr>
      </w:pPr>
      <w:r>
        <w:rPr>
          <w:rFonts w:ascii="华文中宋" w:eastAsia="华文中宋" w:hAnsi="华文中宋" w:cs="华文中宋" w:hint="eastAsia"/>
          <w:sz w:val="32"/>
          <w:szCs w:val="32"/>
        </w:rPr>
        <w:t>3.</w:t>
      </w:r>
      <w:r>
        <w:rPr>
          <w:rFonts w:ascii="华文中宋" w:eastAsia="华文中宋" w:hAnsi="华文中宋" w:cs="华文中宋" w:hint="eastAsia"/>
          <w:sz w:val="32"/>
          <w:szCs w:val="32"/>
        </w:rPr>
        <w:t>国家老年大学可持续发展模式研究（重点）</w:t>
      </w:r>
    </w:p>
    <w:p w:rsidR="0083129D" w:rsidRDefault="009534C6">
      <w:pPr>
        <w:ind w:firstLine="601"/>
      </w:pPr>
      <w:r>
        <w:rPr>
          <w:rFonts w:eastAsia="楷体_GB2312" w:hint="eastAsia"/>
          <w:b/>
          <w:bCs/>
        </w:rPr>
        <w:lastRenderedPageBreak/>
        <w:t>指南意图：</w:t>
      </w:r>
      <w:r>
        <w:rPr>
          <w:rFonts w:hint="eastAsia"/>
        </w:rPr>
        <w:t>（</w:t>
      </w:r>
      <w:r>
        <w:rPr>
          <w:rFonts w:hint="eastAsia"/>
        </w:rPr>
        <w:t>1</w:t>
      </w:r>
      <w:r>
        <w:rPr>
          <w:rFonts w:hint="eastAsia"/>
        </w:rPr>
        <w:t>）</w:t>
      </w:r>
      <w:r>
        <w:rPr>
          <w:rFonts w:ascii="Calibri" w:hAnsi="Calibri" w:cs="Calibri" w:hint="eastAsia"/>
        </w:rPr>
        <w:t>开展全国范围内的老年教育现状</w:t>
      </w:r>
      <w:r>
        <w:rPr>
          <w:rFonts w:hint="eastAsia"/>
        </w:rPr>
        <w:t>调研；（</w:t>
      </w:r>
      <w:r>
        <w:rPr>
          <w:rFonts w:hint="eastAsia"/>
        </w:rPr>
        <w:t>2</w:t>
      </w:r>
      <w:r>
        <w:rPr>
          <w:rFonts w:hint="eastAsia"/>
        </w:rPr>
        <w:t>）研究老年教育多部门的协</w:t>
      </w:r>
      <w:r>
        <w:rPr>
          <w:rFonts w:ascii="Calibri" w:hAnsi="Calibri" w:cs="Calibri" w:hint="eastAsia"/>
        </w:rPr>
        <w:t>作模式</w:t>
      </w:r>
      <w:r>
        <w:rPr>
          <w:rFonts w:hint="eastAsia"/>
        </w:rPr>
        <w:t>；（</w:t>
      </w:r>
      <w:r>
        <w:rPr>
          <w:rFonts w:hint="eastAsia"/>
        </w:rPr>
        <w:t>3</w:t>
      </w:r>
      <w:r>
        <w:rPr>
          <w:rFonts w:hint="eastAsia"/>
        </w:rPr>
        <w:t>）研究老年</w:t>
      </w:r>
      <w:r>
        <w:rPr>
          <w:rFonts w:ascii="Calibri" w:hAnsi="Calibri" w:cs="Calibri" w:hint="eastAsia"/>
        </w:rPr>
        <w:t>教育</w:t>
      </w:r>
      <w:r>
        <w:rPr>
          <w:rFonts w:hint="eastAsia"/>
        </w:rPr>
        <w:t>多元投入长效机制；（</w:t>
      </w:r>
      <w:r>
        <w:rPr>
          <w:rFonts w:hint="eastAsia"/>
        </w:rPr>
        <w:t>4</w:t>
      </w:r>
      <w:r>
        <w:rPr>
          <w:rFonts w:hint="eastAsia"/>
        </w:rPr>
        <w:t>）研究国家老年大学体系</w:t>
      </w:r>
      <w:r>
        <w:rPr>
          <w:rFonts w:ascii="Calibri" w:hAnsi="Calibri" w:cs="Calibri" w:hint="eastAsia"/>
        </w:rPr>
        <w:t>纵向</w:t>
      </w:r>
      <w:r>
        <w:rPr>
          <w:rFonts w:hint="eastAsia"/>
        </w:rPr>
        <w:t>贯通与区域横向联动策略；（</w:t>
      </w:r>
      <w:r>
        <w:rPr>
          <w:rFonts w:hint="eastAsia"/>
        </w:rPr>
        <w:t>5</w:t>
      </w:r>
      <w:r>
        <w:rPr>
          <w:rFonts w:hint="eastAsia"/>
        </w:rPr>
        <w:t>）</w:t>
      </w:r>
      <w:r>
        <w:rPr>
          <w:rFonts w:ascii="Calibri" w:hAnsi="Calibri" w:cs="Calibri" w:hint="eastAsia"/>
        </w:rPr>
        <w:t>研究</w:t>
      </w:r>
      <w:r>
        <w:rPr>
          <w:rFonts w:hint="eastAsia"/>
        </w:rPr>
        <w:t>提出国家老年大学可持续发展模式的政策建议。</w:t>
      </w:r>
    </w:p>
    <w:p w:rsidR="0083129D" w:rsidRDefault="009534C6">
      <w:pPr>
        <w:spacing w:line="600" w:lineRule="exact"/>
        <w:ind w:firstLine="640"/>
        <w:jc w:val="left"/>
        <w:rPr>
          <w:rFonts w:ascii="华文中宋" w:eastAsia="华文中宋" w:hAnsi="华文中宋" w:cs="华文中宋"/>
          <w:sz w:val="32"/>
          <w:szCs w:val="32"/>
        </w:rPr>
      </w:pPr>
      <w:r>
        <w:rPr>
          <w:rFonts w:ascii="华文中宋" w:eastAsia="华文中宋" w:hAnsi="华文中宋" w:cs="华文中宋" w:hint="eastAsia"/>
          <w:sz w:val="32"/>
          <w:szCs w:val="32"/>
        </w:rPr>
        <w:t>4.</w:t>
      </w:r>
      <w:r>
        <w:rPr>
          <w:rFonts w:ascii="华文中宋" w:eastAsia="华文中宋" w:hAnsi="华文中宋" w:cs="华文中宋" w:hint="eastAsia"/>
          <w:sz w:val="32"/>
          <w:szCs w:val="32"/>
        </w:rPr>
        <w:t>新形态国家</w:t>
      </w:r>
      <w:r>
        <w:rPr>
          <w:rFonts w:ascii="华文中宋" w:eastAsia="华文中宋" w:hAnsi="华文中宋" w:cs="华文中宋"/>
          <w:sz w:val="32"/>
          <w:szCs w:val="32"/>
        </w:rPr>
        <w:t>数字大学研究</w:t>
      </w:r>
      <w:r>
        <w:rPr>
          <w:rFonts w:ascii="华文中宋" w:eastAsia="华文中宋" w:hAnsi="华文中宋" w:cs="华文中宋" w:hint="eastAsia"/>
          <w:sz w:val="32"/>
          <w:szCs w:val="32"/>
        </w:rPr>
        <w:t>（重点）</w:t>
      </w:r>
    </w:p>
    <w:p w:rsidR="0083129D" w:rsidRDefault="009534C6">
      <w:pPr>
        <w:ind w:firstLine="641"/>
      </w:pPr>
      <w:r>
        <w:rPr>
          <w:rFonts w:eastAsia="楷体_GB2312" w:hint="eastAsia"/>
          <w:b/>
          <w:bCs/>
          <w:sz w:val="32"/>
          <w:szCs w:val="32"/>
        </w:rPr>
        <w:t>指南意图：</w:t>
      </w:r>
      <w:r>
        <w:rPr>
          <w:rFonts w:ascii="仿宋_GB2312" w:hAnsi="仿宋_GB2312" w:cs="仿宋_GB2312" w:hint="eastAsia"/>
          <w:sz w:val="32"/>
          <w:szCs w:val="32"/>
        </w:rPr>
        <w:t>（</w:t>
      </w:r>
      <w:r>
        <w:rPr>
          <w:rFonts w:ascii="仿宋_GB2312" w:hAnsi="仿宋_GB2312" w:cs="仿宋_GB2312" w:hint="eastAsia"/>
          <w:sz w:val="32"/>
          <w:szCs w:val="32"/>
        </w:rPr>
        <w:t>1</w:t>
      </w:r>
      <w:r>
        <w:rPr>
          <w:rFonts w:ascii="仿宋_GB2312" w:hAnsi="仿宋_GB2312" w:cs="仿宋_GB2312" w:hint="eastAsia"/>
          <w:sz w:val="32"/>
          <w:szCs w:val="32"/>
        </w:rPr>
        <w:t>）</w:t>
      </w:r>
      <w:r>
        <w:rPr>
          <w:rFonts w:hint="eastAsia"/>
        </w:rPr>
        <w:t>研究当前主要国家的数字大学发展现状，</w:t>
      </w:r>
      <w:r>
        <w:rPr>
          <w:rFonts w:ascii="Calibri" w:hAnsi="Calibri" w:cs="Calibri" w:hint="eastAsia"/>
        </w:rPr>
        <w:t>提出</w:t>
      </w:r>
      <w:r>
        <w:rPr>
          <w:rFonts w:hint="eastAsia"/>
        </w:rPr>
        <w:t>新一代人工智能、元宇宙等前沿技术支撑下我国新形态国家数字大学的战略定位；</w:t>
      </w:r>
      <w:r>
        <w:rPr>
          <w:rFonts w:ascii="仿宋_GB2312" w:hAnsi="仿宋_GB2312" w:cs="仿宋_GB2312" w:hint="eastAsia"/>
          <w:sz w:val="32"/>
          <w:szCs w:val="32"/>
        </w:rPr>
        <w:t>（</w:t>
      </w:r>
      <w:r>
        <w:rPr>
          <w:rFonts w:ascii="仿宋_GB2312" w:hAnsi="仿宋_GB2312" w:cs="仿宋_GB2312" w:hint="eastAsia"/>
          <w:sz w:val="32"/>
          <w:szCs w:val="32"/>
        </w:rPr>
        <w:t>2</w:t>
      </w:r>
      <w:r>
        <w:rPr>
          <w:rFonts w:ascii="仿宋_GB2312" w:hAnsi="仿宋_GB2312" w:cs="仿宋_GB2312" w:hint="eastAsia"/>
          <w:sz w:val="32"/>
          <w:szCs w:val="32"/>
        </w:rPr>
        <w:t>）</w:t>
      </w:r>
      <w:r>
        <w:rPr>
          <w:rFonts w:hint="eastAsia"/>
        </w:rPr>
        <w:t>开展</w:t>
      </w:r>
      <w:r>
        <w:rPr>
          <w:rFonts w:hint="eastAsia"/>
        </w:rPr>
        <w:t>数智时代职业能</w:t>
      </w:r>
      <w:r>
        <w:rPr>
          <w:rFonts w:ascii="Calibri" w:hAnsi="Calibri" w:cs="Calibri" w:hint="eastAsia"/>
        </w:rPr>
        <w:t>力</w:t>
      </w:r>
      <w:r>
        <w:rPr>
          <w:rFonts w:hint="eastAsia"/>
        </w:rPr>
        <w:t>终身发展需求大规模调研，系统设计数字大学敏捷灵活的人才培养新范式；</w:t>
      </w:r>
      <w:r>
        <w:rPr>
          <w:rFonts w:ascii="仿宋_GB2312" w:hAnsi="仿宋_GB2312" w:cs="仿宋_GB2312" w:hint="eastAsia"/>
          <w:sz w:val="32"/>
          <w:szCs w:val="32"/>
        </w:rPr>
        <w:t>（</w:t>
      </w:r>
      <w:r>
        <w:rPr>
          <w:rFonts w:ascii="仿宋_GB2312" w:hAnsi="仿宋_GB2312" w:cs="仿宋_GB2312" w:hint="eastAsia"/>
          <w:sz w:val="32"/>
          <w:szCs w:val="32"/>
        </w:rPr>
        <w:t>3</w:t>
      </w:r>
      <w:r>
        <w:rPr>
          <w:rFonts w:ascii="仿宋_GB2312" w:hAnsi="仿宋_GB2312" w:cs="仿宋_GB2312" w:hint="eastAsia"/>
          <w:sz w:val="32"/>
          <w:szCs w:val="32"/>
        </w:rPr>
        <w:t>）</w:t>
      </w:r>
      <w:r>
        <w:rPr>
          <w:rFonts w:hint="eastAsia"/>
        </w:rPr>
        <w:t>研究构建数字大学服务终身教育的未来课堂、未来教师、未来校园和未来学习中心，</w:t>
      </w:r>
      <w:r>
        <w:rPr>
          <w:rFonts w:ascii="Calibri" w:hAnsi="Calibri" w:cs="Calibri" w:hint="eastAsia"/>
        </w:rPr>
        <w:t>建立</w:t>
      </w:r>
      <w:r>
        <w:rPr>
          <w:rFonts w:hint="eastAsia"/>
        </w:rPr>
        <w:t>智能化服务型教育</w:t>
      </w:r>
      <w:r>
        <w:rPr>
          <w:rFonts w:ascii="Calibri" w:hAnsi="Calibri" w:cs="Calibri" w:hint="eastAsia"/>
        </w:rPr>
        <w:t>新模式</w:t>
      </w:r>
      <w:r>
        <w:rPr>
          <w:rFonts w:hint="eastAsia"/>
        </w:rPr>
        <w:t>，开展实践应用和效果跟踪研究；（</w:t>
      </w:r>
      <w:r>
        <w:rPr>
          <w:rFonts w:hint="eastAsia"/>
        </w:rPr>
        <w:t>4</w:t>
      </w:r>
      <w:r>
        <w:rPr>
          <w:rFonts w:hint="eastAsia"/>
        </w:rPr>
        <w:t>）研究国家智慧教育平台的建设成果和应用转化机制、支撑大规模个性化学习的数字大学新形态教学平台及关键技术；（</w:t>
      </w:r>
      <w:r>
        <w:rPr>
          <w:rFonts w:hint="eastAsia"/>
        </w:rPr>
        <w:t>5</w:t>
      </w:r>
      <w:r>
        <w:rPr>
          <w:rFonts w:hint="eastAsia"/>
        </w:rPr>
        <w:t>）研究提出国家数字大学建设的政策建议。</w:t>
      </w:r>
    </w:p>
    <w:p w:rsidR="0083129D" w:rsidRDefault="009534C6">
      <w:pPr>
        <w:spacing w:line="600" w:lineRule="exact"/>
        <w:ind w:firstLine="640"/>
        <w:jc w:val="left"/>
        <w:rPr>
          <w:rFonts w:ascii="华文中宋" w:eastAsia="华文中宋" w:hAnsi="华文中宋" w:cs="华文中宋"/>
          <w:sz w:val="32"/>
          <w:szCs w:val="32"/>
        </w:rPr>
      </w:pPr>
      <w:r>
        <w:rPr>
          <w:rFonts w:ascii="华文中宋" w:eastAsia="华文中宋" w:hAnsi="华文中宋" w:cs="华文中宋" w:hint="eastAsia"/>
          <w:sz w:val="32"/>
          <w:szCs w:val="32"/>
        </w:rPr>
        <w:t>5.</w:t>
      </w:r>
      <w:r>
        <w:rPr>
          <w:rFonts w:ascii="华文中宋" w:eastAsia="华文中宋" w:hAnsi="华文中宋" w:cs="华文中宋" w:hint="eastAsia"/>
          <w:sz w:val="32"/>
          <w:szCs w:val="32"/>
        </w:rPr>
        <w:t>国家学分银行建设与学习成果认证机制研究（一般）</w:t>
      </w:r>
    </w:p>
    <w:p w:rsidR="0083129D" w:rsidRDefault="009534C6">
      <w:pPr>
        <w:ind w:firstLine="601"/>
      </w:pPr>
      <w:r>
        <w:rPr>
          <w:rFonts w:eastAsia="楷体_GB2312" w:hint="eastAsia"/>
          <w:b/>
          <w:bCs/>
        </w:rPr>
        <w:t>指南意图：</w:t>
      </w:r>
      <w:r>
        <w:rPr>
          <w:rFonts w:hint="eastAsia"/>
        </w:rPr>
        <w:t>（</w:t>
      </w:r>
      <w:r>
        <w:rPr>
          <w:rFonts w:hint="eastAsia"/>
        </w:rPr>
        <w:t>1</w:t>
      </w:r>
      <w:r>
        <w:rPr>
          <w:rFonts w:hint="eastAsia"/>
        </w:rPr>
        <w:t>）开展国际资历框架标准比较研究；（</w:t>
      </w:r>
      <w:r>
        <w:rPr>
          <w:rFonts w:hint="eastAsia"/>
        </w:rPr>
        <w:t>2</w:t>
      </w:r>
      <w:r>
        <w:rPr>
          <w:rFonts w:hint="eastAsia"/>
        </w:rPr>
        <w:t>）调研学习成果认证与转换现状</w:t>
      </w:r>
      <w:r>
        <w:rPr>
          <w:rFonts w:ascii="Calibri" w:hAnsi="Calibri" w:cs="Calibri" w:hint="eastAsia"/>
        </w:rPr>
        <w:t>及需求</w:t>
      </w:r>
      <w:r>
        <w:rPr>
          <w:rFonts w:hint="eastAsia"/>
        </w:rPr>
        <w:t>，</w:t>
      </w:r>
      <w:r>
        <w:rPr>
          <w:rFonts w:ascii="Calibri" w:hAnsi="Calibri" w:cs="Calibri" w:hint="eastAsia"/>
        </w:rPr>
        <w:t>研究</w:t>
      </w:r>
      <w:r>
        <w:rPr>
          <w:rFonts w:ascii="Calibri" w:hAnsi="Calibri" w:cs="Calibri" w:hint="eastAsia"/>
        </w:rPr>
        <w:t>基于行业能力标准的学习成果认证标准体系；</w:t>
      </w:r>
      <w:r>
        <w:rPr>
          <w:rFonts w:hint="eastAsia"/>
        </w:rPr>
        <w:t>（</w:t>
      </w:r>
      <w:r>
        <w:t>3</w:t>
      </w:r>
      <w:r>
        <w:rPr>
          <w:rFonts w:hint="eastAsia"/>
        </w:rPr>
        <w:t>）</w:t>
      </w:r>
      <w:r>
        <w:rPr>
          <w:rFonts w:ascii="Calibri" w:hAnsi="Calibri" w:cs="Calibri" w:hint="eastAsia"/>
        </w:rPr>
        <w:t>通过</w:t>
      </w:r>
      <w:r>
        <w:rPr>
          <w:rFonts w:hint="eastAsia"/>
        </w:rPr>
        <w:t>区域</w:t>
      </w:r>
      <w:r>
        <w:rPr>
          <w:rFonts w:ascii="Calibri" w:hAnsi="Calibri" w:cs="Calibri" w:hint="eastAsia"/>
        </w:rPr>
        <w:t>学分银行与行业学分银行的</w:t>
      </w:r>
      <w:r>
        <w:rPr>
          <w:rFonts w:hint="eastAsia"/>
        </w:rPr>
        <w:t>应用案例</w:t>
      </w:r>
      <w:r>
        <w:rPr>
          <w:rFonts w:ascii="Calibri" w:hAnsi="Calibri" w:cs="Calibri" w:hint="eastAsia"/>
        </w:rPr>
        <w:t>研究</w:t>
      </w:r>
      <w:r>
        <w:rPr>
          <w:rFonts w:hint="eastAsia"/>
        </w:rPr>
        <w:t>，</w:t>
      </w:r>
      <w:r>
        <w:rPr>
          <w:rFonts w:ascii="Calibri" w:hAnsi="Calibri" w:cs="Calibri" w:hint="eastAsia"/>
        </w:rPr>
        <w:t>完善国家学分银行服务体系；（</w:t>
      </w:r>
      <w:r>
        <w:rPr>
          <w:rFonts w:ascii="Calibri" w:hAnsi="Calibri" w:cs="Calibri"/>
        </w:rPr>
        <w:t>4</w:t>
      </w:r>
      <w:r>
        <w:rPr>
          <w:rFonts w:ascii="Calibri" w:hAnsi="Calibri" w:cs="Calibri" w:hint="eastAsia"/>
        </w:rPr>
        <w:t>）研究</w:t>
      </w:r>
      <w:r>
        <w:rPr>
          <w:rFonts w:hint="eastAsia"/>
        </w:rPr>
        <w:t>提出以资历框架为基础、以学分银行为平台、以学习成果认证为重点的终身学习制度相关政策建议。</w:t>
      </w:r>
    </w:p>
    <w:p w:rsidR="0083129D" w:rsidRDefault="009534C6">
      <w:pPr>
        <w:spacing w:line="600" w:lineRule="exact"/>
        <w:ind w:firstLine="640"/>
        <w:jc w:val="left"/>
        <w:rPr>
          <w:rFonts w:ascii="华文中宋" w:eastAsia="华文中宋" w:hAnsi="华文中宋" w:cs="华文中宋"/>
          <w:sz w:val="32"/>
          <w:szCs w:val="32"/>
        </w:rPr>
      </w:pPr>
      <w:r>
        <w:rPr>
          <w:rFonts w:ascii="华文中宋" w:eastAsia="华文中宋" w:hAnsi="华文中宋" w:cs="华文中宋" w:hint="eastAsia"/>
          <w:sz w:val="32"/>
          <w:szCs w:val="32"/>
        </w:rPr>
        <w:t>6.</w:t>
      </w:r>
      <w:r>
        <w:rPr>
          <w:rFonts w:ascii="华文中宋" w:eastAsia="华文中宋" w:hAnsi="华文中宋" w:cs="华文中宋" w:hint="eastAsia"/>
          <w:sz w:val="32"/>
          <w:szCs w:val="32"/>
        </w:rPr>
        <w:t>教育数字化赋能学习型社区建设研究（一般）</w:t>
      </w:r>
    </w:p>
    <w:p w:rsidR="0083129D" w:rsidRDefault="009534C6">
      <w:pPr>
        <w:ind w:firstLine="601"/>
      </w:pPr>
      <w:r>
        <w:rPr>
          <w:rFonts w:eastAsia="楷体_GB2312" w:hint="eastAsia"/>
          <w:b/>
          <w:bCs/>
        </w:rPr>
        <w:t>指南意图：</w:t>
      </w:r>
      <w:r>
        <w:rPr>
          <w:rFonts w:hint="eastAsia"/>
        </w:rPr>
        <w:t>（</w:t>
      </w:r>
      <w:r>
        <w:rPr>
          <w:rFonts w:hint="eastAsia"/>
        </w:rPr>
        <w:t>1</w:t>
      </w:r>
      <w:r>
        <w:rPr>
          <w:rFonts w:hint="eastAsia"/>
        </w:rPr>
        <w:t>）研究新时代学习型社区建设的新特征和关键指</w:t>
      </w:r>
      <w:r>
        <w:rPr>
          <w:rFonts w:hint="eastAsia"/>
        </w:rPr>
        <w:lastRenderedPageBreak/>
        <w:t>标；（</w:t>
      </w:r>
      <w:r>
        <w:rPr>
          <w:rFonts w:hint="eastAsia"/>
        </w:rPr>
        <w:t>2</w:t>
      </w:r>
      <w:r>
        <w:rPr>
          <w:rFonts w:hint="eastAsia"/>
        </w:rPr>
        <w:t>）国内外教育数字化赋能学习型社区建设的比较研究；（</w:t>
      </w:r>
      <w:r>
        <w:rPr>
          <w:rFonts w:hint="eastAsia"/>
        </w:rPr>
        <w:t>3</w:t>
      </w:r>
      <w:r>
        <w:rPr>
          <w:rFonts w:hint="eastAsia"/>
        </w:rPr>
        <w:t>）研究开放大学以教育数字化赋能城市和农村两类学习型社区建设的典型模式；（</w:t>
      </w:r>
      <w:r>
        <w:rPr>
          <w:rFonts w:hint="eastAsia"/>
        </w:rPr>
        <w:t>4</w:t>
      </w:r>
      <w:r>
        <w:rPr>
          <w:rFonts w:hint="eastAsia"/>
        </w:rPr>
        <w:t>）研究国家终身教育智慧教育平台助力学习型社区建设的应用模式；（</w:t>
      </w:r>
      <w:r>
        <w:rPr>
          <w:rFonts w:hint="eastAsia"/>
        </w:rPr>
        <w:t>5</w:t>
      </w:r>
      <w:r>
        <w:rPr>
          <w:rFonts w:hint="eastAsia"/>
        </w:rPr>
        <w:t>）提出加快推进教育数字化赋能学习型社区建设的政策建议以及行动计划。</w:t>
      </w:r>
    </w:p>
    <w:p w:rsidR="0083129D" w:rsidRDefault="009534C6">
      <w:pPr>
        <w:spacing w:line="600" w:lineRule="exact"/>
        <w:ind w:firstLine="640"/>
        <w:jc w:val="left"/>
        <w:rPr>
          <w:rFonts w:ascii="华文中宋" w:eastAsia="华文中宋" w:hAnsi="华文中宋" w:cs="华文中宋"/>
          <w:sz w:val="32"/>
          <w:szCs w:val="32"/>
        </w:rPr>
      </w:pPr>
      <w:r>
        <w:rPr>
          <w:rFonts w:ascii="华文中宋" w:eastAsia="华文中宋" w:hAnsi="华文中宋" w:cs="华文中宋" w:hint="eastAsia"/>
          <w:sz w:val="32"/>
          <w:szCs w:val="32"/>
        </w:rPr>
        <w:t>7.</w:t>
      </w:r>
      <w:r>
        <w:rPr>
          <w:rFonts w:ascii="华文中宋" w:eastAsia="华文中宋" w:hAnsi="华文中宋" w:cs="华文中宋"/>
          <w:sz w:val="32"/>
          <w:szCs w:val="32"/>
        </w:rPr>
        <w:t>数智赋能开放教育教学改革的理论与实践研究</w:t>
      </w:r>
      <w:r>
        <w:rPr>
          <w:rFonts w:ascii="华文中宋" w:eastAsia="华文中宋" w:hAnsi="华文中宋" w:cs="华文中宋" w:hint="eastAsia"/>
          <w:sz w:val="32"/>
          <w:szCs w:val="32"/>
        </w:rPr>
        <w:t>（一般）</w:t>
      </w:r>
    </w:p>
    <w:p w:rsidR="0083129D" w:rsidRDefault="009534C6">
      <w:pPr>
        <w:ind w:firstLine="601"/>
      </w:pPr>
      <w:r>
        <w:rPr>
          <w:rFonts w:eastAsia="楷体_GB2312" w:hint="eastAsia"/>
          <w:b/>
          <w:bCs/>
        </w:rPr>
        <w:t>指南意图：</w:t>
      </w:r>
      <w:r>
        <w:rPr>
          <w:rFonts w:hint="eastAsia"/>
        </w:rPr>
        <w:t>（</w:t>
      </w:r>
      <w:r>
        <w:rPr>
          <w:rFonts w:hint="eastAsia"/>
        </w:rPr>
        <w:t>1</w:t>
      </w:r>
      <w:r>
        <w:rPr>
          <w:rFonts w:hint="eastAsia"/>
        </w:rPr>
        <w:t>）研究以岗位胜任力培养为导向的开放教育专业与课程体系建设改革方案；（</w:t>
      </w:r>
      <w:r>
        <w:rPr>
          <w:rFonts w:hint="eastAsia"/>
        </w:rPr>
        <w:t>2</w:t>
      </w:r>
      <w:r>
        <w:rPr>
          <w:rFonts w:hint="eastAsia"/>
        </w:rPr>
        <w:t>）研究多模态、智能化课程资源建设内容与机制；（</w:t>
      </w:r>
      <w:r>
        <w:rPr>
          <w:rFonts w:hint="eastAsia"/>
        </w:rPr>
        <w:t>3</w:t>
      </w:r>
      <w:r>
        <w:rPr>
          <w:rFonts w:hint="eastAsia"/>
        </w:rPr>
        <w:t>）研究“人工智</w:t>
      </w:r>
      <w:r>
        <w:rPr>
          <w:rFonts w:hint="eastAsia"/>
        </w:rPr>
        <w:t>能</w:t>
      </w:r>
      <w:r>
        <w:rPr>
          <w:rFonts w:hint="eastAsia"/>
        </w:rPr>
        <w:t>+</w:t>
      </w:r>
      <w:r>
        <w:rPr>
          <w:rFonts w:hint="eastAsia"/>
        </w:rPr>
        <w:t>”教学模式构建与实践探索；（</w:t>
      </w:r>
      <w:r>
        <w:rPr>
          <w:rFonts w:hint="eastAsia"/>
        </w:rPr>
        <w:t>4</w:t>
      </w:r>
      <w:r>
        <w:rPr>
          <w:rFonts w:hint="eastAsia"/>
        </w:rPr>
        <w:t>）研究智能教学系统功能构建；（</w:t>
      </w:r>
      <w:r>
        <w:rPr>
          <w:rFonts w:hint="eastAsia"/>
        </w:rPr>
        <w:t>5</w:t>
      </w:r>
      <w:r>
        <w:rPr>
          <w:rFonts w:hint="eastAsia"/>
        </w:rPr>
        <w:t>）研究数据驱动的开放教育质量认证标准和保障体系。</w:t>
      </w:r>
    </w:p>
    <w:p w:rsidR="0083129D" w:rsidRDefault="009534C6">
      <w:pPr>
        <w:spacing w:line="600" w:lineRule="exact"/>
        <w:ind w:firstLine="640"/>
        <w:jc w:val="left"/>
        <w:rPr>
          <w:rFonts w:ascii="华文中宋" w:eastAsia="华文中宋" w:hAnsi="华文中宋" w:cs="华文中宋"/>
          <w:sz w:val="32"/>
          <w:szCs w:val="32"/>
        </w:rPr>
      </w:pPr>
      <w:r>
        <w:rPr>
          <w:rFonts w:ascii="华文中宋" w:eastAsia="华文中宋" w:hAnsi="华文中宋" w:cs="华文中宋" w:hint="eastAsia"/>
          <w:sz w:val="32"/>
          <w:szCs w:val="32"/>
        </w:rPr>
        <w:t>8.</w:t>
      </w:r>
      <w:r>
        <w:rPr>
          <w:rFonts w:ascii="华文中宋" w:eastAsia="华文中宋" w:hAnsi="华文中宋" w:cs="华文中宋" w:hint="eastAsia"/>
          <w:sz w:val="32"/>
          <w:szCs w:val="32"/>
        </w:rPr>
        <w:t>数智赋能开放教育教师队伍建设研究（一般）</w:t>
      </w:r>
    </w:p>
    <w:p w:rsidR="0083129D" w:rsidRDefault="009534C6">
      <w:pPr>
        <w:ind w:firstLine="601"/>
      </w:pPr>
      <w:r>
        <w:rPr>
          <w:rFonts w:eastAsia="楷体_GB2312" w:hint="eastAsia"/>
          <w:b/>
          <w:bCs/>
        </w:rPr>
        <w:t>指南意图：</w:t>
      </w:r>
      <w:r>
        <w:rPr>
          <w:rFonts w:hint="eastAsia"/>
        </w:rPr>
        <w:t>（</w:t>
      </w:r>
      <w:r>
        <w:rPr>
          <w:rFonts w:hint="eastAsia"/>
        </w:rPr>
        <w:t>1</w:t>
      </w:r>
      <w:r>
        <w:rPr>
          <w:rFonts w:hint="eastAsia"/>
        </w:rPr>
        <w:t>）调研当前我国开放教育教师队伍建设现状与发展需求；（</w:t>
      </w:r>
      <w:r>
        <w:rPr>
          <w:rFonts w:hint="eastAsia"/>
        </w:rPr>
        <w:t>2</w:t>
      </w:r>
      <w:r>
        <w:rPr>
          <w:rFonts w:hint="eastAsia"/>
        </w:rPr>
        <w:t>）研究以教育家精神为引领的开放教育</w:t>
      </w:r>
      <w:r>
        <w:rPr>
          <w:rFonts w:ascii="Calibri" w:hAnsi="Calibri" w:cs="Calibri" w:hint="eastAsia"/>
        </w:rPr>
        <w:t>未来</w:t>
      </w:r>
      <w:r>
        <w:rPr>
          <w:rFonts w:hint="eastAsia"/>
        </w:rPr>
        <w:t>教师队伍建设的内涵定位；（</w:t>
      </w:r>
      <w:r>
        <w:rPr>
          <w:rFonts w:hint="eastAsia"/>
        </w:rPr>
        <w:t>3</w:t>
      </w:r>
      <w:r>
        <w:rPr>
          <w:rFonts w:hint="eastAsia"/>
        </w:rPr>
        <w:t>）研究构建“国家</w:t>
      </w:r>
      <w:r>
        <w:rPr>
          <w:rFonts w:hint="eastAsia"/>
        </w:rPr>
        <w:t>-</w:t>
      </w:r>
      <w:r>
        <w:rPr>
          <w:rFonts w:hint="eastAsia"/>
        </w:rPr>
        <w:t>省</w:t>
      </w:r>
      <w:r>
        <w:rPr>
          <w:rFonts w:hint="eastAsia"/>
        </w:rPr>
        <w:t>-</w:t>
      </w:r>
      <w:r>
        <w:rPr>
          <w:rFonts w:hint="eastAsia"/>
        </w:rPr>
        <w:t>市</w:t>
      </w:r>
      <w:r>
        <w:rPr>
          <w:rFonts w:hint="eastAsia"/>
        </w:rPr>
        <w:t>-</w:t>
      </w:r>
      <w:r>
        <w:rPr>
          <w:rFonts w:hint="eastAsia"/>
        </w:rPr>
        <w:t>县”四级纵向贯通的开放教育办学体系教师队伍建设发展模式；（</w:t>
      </w:r>
      <w:r>
        <w:rPr>
          <w:rFonts w:hint="eastAsia"/>
        </w:rPr>
        <w:t>4</w:t>
      </w:r>
      <w:r>
        <w:rPr>
          <w:rFonts w:hint="eastAsia"/>
        </w:rPr>
        <w:t>）研究</w:t>
      </w:r>
      <w:r>
        <w:rPr>
          <w:rFonts w:ascii="Calibri" w:hAnsi="Calibri" w:cs="Calibri" w:hint="eastAsia"/>
        </w:rPr>
        <w:t>数智</w:t>
      </w:r>
      <w:r>
        <w:rPr>
          <w:rFonts w:hint="eastAsia"/>
        </w:rPr>
        <w:t>教育教学模式下的未来教师能力建设路径；（</w:t>
      </w:r>
      <w:r>
        <w:t>5</w:t>
      </w:r>
      <w:r>
        <w:rPr>
          <w:rFonts w:hint="eastAsia"/>
        </w:rPr>
        <w:t>）提出数智赋能开放教育教师队伍建设的措施、机制和政策建议。</w:t>
      </w:r>
    </w:p>
    <w:p w:rsidR="0083129D" w:rsidRDefault="009534C6">
      <w:pPr>
        <w:spacing w:line="600" w:lineRule="exact"/>
        <w:ind w:firstLine="640"/>
        <w:jc w:val="left"/>
        <w:rPr>
          <w:rFonts w:ascii="华文中宋" w:eastAsia="华文中宋" w:hAnsi="华文中宋" w:cs="华文中宋"/>
          <w:sz w:val="32"/>
          <w:szCs w:val="32"/>
        </w:rPr>
      </w:pPr>
      <w:r>
        <w:rPr>
          <w:rFonts w:ascii="华文中宋" w:eastAsia="华文中宋" w:hAnsi="华文中宋" w:cs="华文中宋" w:hint="eastAsia"/>
          <w:sz w:val="32"/>
          <w:szCs w:val="32"/>
        </w:rPr>
        <w:t>9.</w:t>
      </w:r>
      <w:r>
        <w:rPr>
          <w:rFonts w:ascii="华文中宋" w:eastAsia="华文中宋" w:hAnsi="华文中宋" w:cs="华文中宋" w:hint="eastAsia"/>
          <w:sz w:val="32"/>
          <w:szCs w:val="32"/>
        </w:rPr>
        <w:t>数字终身教育国</w:t>
      </w:r>
      <w:r>
        <w:rPr>
          <w:rFonts w:ascii="华文中宋" w:eastAsia="华文中宋" w:hAnsi="华文中宋" w:cs="华文中宋" w:hint="eastAsia"/>
          <w:sz w:val="32"/>
          <w:szCs w:val="32"/>
        </w:rPr>
        <w:t>际化理论及实践路径研究（一般）</w:t>
      </w:r>
    </w:p>
    <w:p w:rsidR="0083129D" w:rsidRDefault="009534C6">
      <w:pPr>
        <w:ind w:firstLine="601"/>
      </w:pPr>
      <w:r>
        <w:rPr>
          <w:rFonts w:eastAsia="楷体_GB2312" w:hint="eastAsia"/>
          <w:b/>
          <w:bCs/>
        </w:rPr>
        <w:t>指南意图：</w:t>
      </w:r>
      <w:r>
        <w:rPr>
          <w:rFonts w:hint="eastAsia"/>
        </w:rPr>
        <w:t>（</w:t>
      </w:r>
      <w:r>
        <w:rPr>
          <w:rFonts w:hint="eastAsia"/>
        </w:rPr>
        <w:t>1</w:t>
      </w:r>
      <w:r>
        <w:rPr>
          <w:rFonts w:hint="eastAsia"/>
        </w:rPr>
        <w:t>）开展主要国家开放大学等终身教育机构推进数字教育国际化的比较研究；（</w:t>
      </w:r>
      <w:r>
        <w:rPr>
          <w:rFonts w:hint="eastAsia"/>
        </w:rPr>
        <w:t>2</w:t>
      </w:r>
      <w:r>
        <w:rPr>
          <w:rFonts w:hint="eastAsia"/>
        </w:rPr>
        <w:t>）评估</w:t>
      </w:r>
      <w:r>
        <w:rPr>
          <w:rFonts w:ascii="Calibri" w:hAnsi="Calibri" w:cs="Calibri" w:hint="eastAsia"/>
        </w:rPr>
        <w:t>国家开放大学</w:t>
      </w:r>
      <w:r>
        <w:rPr>
          <w:rFonts w:hint="eastAsia"/>
        </w:rPr>
        <w:t>海外学习中心建设发展相关政策以及跨境数字教育项目的实施效果；（</w:t>
      </w:r>
      <w:r>
        <w:rPr>
          <w:rFonts w:hint="eastAsia"/>
        </w:rPr>
        <w:t>3</w:t>
      </w:r>
      <w:r>
        <w:rPr>
          <w:rFonts w:hint="eastAsia"/>
        </w:rPr>
        <w:t>）研究不同区域、不同文化的数字教育国际合作模式；（</w:t>
      </w:r>
      <w:r>
        <w:rPr>
          <w:rFonts w:hint="eastAsia"/>
        </w:rPr>
        <w:t>4</w:t>
      </w:r>
      <w:r>
        <w:rPr>
          <w:rFonts w:hint="eastAsia"/>
        </w:rPr>
        <w:t>）提出基于多元协作</w:t>
      </w:r>
      <w:r>
        <w:rPr>
          <w:rFonts w:hint="eastAsia"/>
        </w:rPr>
        <w:lastRenderedPageBreak/>
        <w:t>的数字教育国际化发展推进策略。</w:t>
      </w:r>
    </w:p>
    <w:sectPr w:rsidR="0083129D">
      <w:headerReference w:type="even" r:id="rId7"/>
      <w:headerReference w:type="default" r:id="rId8"/>
      <w:footerReference w:type="even" r:id="rId9"/>
      <w:footerReference w:type="default" r:id="rId10"/>
      <w:headerReference w:type="first" r:id="rId11"/>
      <w:footerReference w:type="first" r:id="rId12"/>
      <w:pgSz w:w="11906" w:h="16838"/>
      <w:pgMar w:top="1814" w:right="1588" w:bottom="1588" w:left="1588" w:header="851" w:footer="992" w:gutter="0"/>
      <w:pgNumType w:fmt="numberInDash"/>
      <w:cols w:space="720"/>
      <w:docGrid w:type="lines" w:linePitch="4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29D" w:rsidRDefault="009534C6">
      <w:pPr>
        <w:spacing w:line="240" w:lineRule="auto"/>
        <w:ind w:firstLine="600"/>
      </w:pPr>
      <w:r>
        <w:separator/>
      </w:r>
    </w:p>
  </w:endnote>
  <w:endnote w:type="continuationSeparator" w:id="0">
    <w:p w:rsidR="0083129D" w:rsidRDefault="009534C6">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embedRegular r:id="rId1" w:fontKey="{96AB527A-EC81-435A-ADB1-7245ABB62B69}"/>
  </w:font>
  <w:font w:name="华文中宋">
    <w:panose1 w:val="02010600040101010101"/>
    <w:charset w:val="86"/>
    <w:family w:val="auto"/>
    <w:pitch w:val="variable"/>
    <w:sig w:usb0="00000287" w:usb1="080F0000" w:usb2="00000010" w:usb3="00000000" w:csb0="0004009F" w:csb1="00000000"/>
    <w:embedRegular r:id="rId2" w:subsetted="1" w:fontKey="{4E7E19B1-4708-440D-9E87-44C41620A0C5}"/>
  </w:font>
  <w:font w:name="楷体_GB2312">
    <w:charset w:val="86"/>
    <w:family w:val="modern"/>
    <w:pitch w:val="default"/>
    <w:sig w:usb0="00000001" w:usb1="080E0000" w:usb2="00000000" w:usb3="00000000" w:csb0="00040000" w:csb1="00000000"/>
    <w:embedBold r:id="rId3" w:subsetted="1" w:fontKey="{98F7F085-D73C-42A8-942C-06A75EE0AD86}"/>
  </w:font>
  <w:font w:name="Calibri">
    <w:panose1 w:val="020F0502020204030204"/>
    <w:charset w:val="00"/>
    <w:family w:val="swiss"/>
    <w:pitch w:val="variable"/>
    <w:sig w:usb0="E10002FF" w:usb1="4000ACFF" w:usb2="00000009" w:usb3="00000000" w:csb0="0000019F" w:csb1="00000000"/>
    <w:embedRegular r:id="rId4" w:subsetted="1" w:fontKey="{5DB6A5CE-0B91-44D5-AE7C-225B6090AFA7}"/>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29D" w:rsidRDefault="009534C6">
    <w:pPr>
      <w:pStyle w:val="a5"/>
      <w:ind w:firstLine="360"/>
    </w:pPr>
    <w:r>
      <w:rPr>
        <w:noProof/>
      </w:rPr>
      <mc:AlternateContent>
        <mc:Choice Requires="wps">
          <w:drawing>
            <wp:anchor distT="0" distB="0" distL="114300" distR="114300" simplePos="0" relativeHeight="251659264" behindDoc="0" locked="0" layoutInCell="1" allowOverlap="1">
              <wp:simplePos x="0" y="0"/>
              <wp:positionH relativeFrom="margin">
                <wp:posOffset>223520</wp:posOffset>
              </wp:positionH>
              <wp:positionV relativeFrom="paragraph">
                <wp:posOffset>-10160</wp:posOffset>
              </wp:positionV>
              <wp:extent cx="723265" cy="1828800"/>
              <wp:effectExtent l="0" t="0" r="0" b="0"/>
              <wp:wrapNone/>
              <wp:docPr id="4" name="文本框 28"/>
              <wp:cNvGraphicFramePr/>
              <a:graphic xmlns:a="http://schemas.openxmlformats.org/drawingml/2006/main">
                <a:graphicData uri="http://schemas.microsoft.com/office/word/2010/wordprocessingShape">
                  <wps:wsp>
                    <wps:cNvSpPr txBox="1"/>
                    <wps:spPr>
                      <a:xfrm>
                        <a:off x="0" y="0"/>
                        <a:ext cx="723569" cy="1828800"/>
                      </a:xfrm>
                      <a:prstGeom prst="rect">
                        <a:avLst/>
                      </a:prstGeom>
                      <a:noFill/>
                      <a:ln>
                        <a:noFill/>
                      </a:ln>
                    </wps:spPr>
                    <wps:txbx>
                      <w:txbxContent>
                        <w:p w:rsidR="0083129D" w:rsidRDefault="009534C6">
                          <w:pPr>
                            <w:ind w:firstLine="600"/>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r>
                            <w:rPr>
                              <w:rFonts w:hint="eastAsia"/>
                            </w:rPr>
                            <w:t xml:space="preserve"> </w:t>
                          </w:r>
                          <w:r>
                            <w:rPr>
                              <w:rFonts w:hint="eastAsia"/>
                            </w:rPr>
                            <w:t>—</w:t>
                          </w:r>
                        </w:p>
                      </w:txbxContent>
                    </wps:txbx>
                    <wps:bodyPr wrap="squar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8" o:spid="_x0000_s1026" type="#_x0000_t202" style="position:absolute;left:0;text-align:left;margin-left:17.6pt;margin-top:-.8pt;width:56.95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" filled="f" stroked="f">
              <v:textbox style="mso-fit-shape-to-text:t" inset="0,0,0,0">
                <w:txbxContent>
                  <w:p w:rsidR="0083129D" w:rsidRDefault="009534C6">
                    <w:pPr>
                      <w:ind w:firstLine="600"/>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r>
                      <w:rPr>
                        <w:rFonts w:hint="eastAsia"/>
                      </w:rPr>
                      <w:t xml:space="preserve"> </w:t>
                    </w:r>
                    <w:r>
                      <w:rPr>
                        <w:rFonts w:hint="eastAsia"/>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19957"/>
    </w:sdtPr>
    <w:sdtEndPr/>
    <w:sdtContent>
      <w:p w:rsidR="0083129D" w:rsidRDefault="009534C6">
        <w:pPr>
          <w:pStyle w:val="a5"/>
          <w:ind w:firstLine="360"/>
        </w:pPr>
        <w:r>
          <w:fldChar w:fldCharType="begin"/>
        </w:r>
        <w:r>
          <w:instrText>PAGE   \* MERGEFORMAT</w:instrText>
        </w:r>
        <w:r>
          <w:fldChar w:fldCharType="separate"/>
        </w:r>
        <w:r w:rsidRPr="009534C6">
          <w:rPr>
            <w:noProof/>
            <w:lang w:val="zh-CN"/>
          </w:rPr>
          <w:t>-</w:t>
        </w:r>
        <w:r>
          <w:rPr>
            <w:noProof/>
          </w:rPr>
          <w:t xml:space="preserve"> 4 -</w:t>
        </w:r>
        <w:r>
          <w:fldChar w:fldCharType="end"/>
        </w:r>
      </w:p>
    </w:sdtContent>
  </w:sdt>
  <w:p w:rsidR="0083129D" w:rsidRDefault="0083129D">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29D" w:rsidRDefault="0083129D">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29D" w:rsidRDefault="009534C6">
      <w:pPr>
        <w:spacing w:line="240" w:lineRule="auto"/>
        <w:ind w:firstLine="600"/>
      </w:pPr>
      <w:r>
        <w:separator/>
      </w:r>
    </w:p>
  </w:footnote>
  <w:footnote w:type="continuationSeparator" w:id="0">
    <w:p w:rsidR="0083129D" w:rsidRDefault="009534C6">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29D" w:rsidRDefault="0083129D">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29D" w:rsidRDefault="0083129D">
    <w:pPr>
      <w:pStyle w:val="a6"/>
      <w:pBdr>
        <w:bottom w:val="none" w:sz="0" w:space="1"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29D" w:rsidRDefault="0083129D">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yOTEyYjA0NDU2MzA1YzczNDQ5ODVhM2Y5YzdiMzAifQ=="/>
  </w:docVars>
  <w:rsids>
    <w:rsidRoot w:val="00752927"/>
    <w:rsid w:val="000019BF"/>
    <w:rsid w:val="00004330"/>
    <w:rsid w:val="00023144"/>
    <w:rsid w:val="000357D4"/>
    <w:rsid w:val="00041CD9"/>
    <w:rsid w:val="00073821"/>
    <w:rsid w:val="00094628"/>
    <w:rsid w:val="000B0BAE"/>
    <w:rsid w:val="000C5593"/>
    <w:rsid w:val="000D10A2"/>
    <w:rsid w:val="000D3B19"/>
    <w:rsid w:val="000D7FD7"/>
    <w:rsid w:val="000E24AA"/>
    <w:rsid w:val="000E2565"/>
    <w:rsid w:val="000E63BF"/>
    <w:rsid w:val="00114EAA"/>
    <w:rsid w:val="001236E5"/>
    <w:rsid w:val="0016769A"/>
    <w:rsid w:val="001730A0"/>
    <w:rsid w:val="00173B96"/>
    <w:rsid w:val="0018163C"/>
    <w:rsid w:val="001870B6"/>
    <w:rsid w:val="001A5342"/>
    <w:rsid w:val="001B0001"/>
    <w:rsid w:val="001D292B"/>
    <w:rsid w:val="001D2A96"/>
    <w:rsid w:val="001F6C50"/>
    <w:rsid w:val="00225B52"/>
    <w:rsid w:val="0024322A"/>
    <w:rsid w:val="00273E8C"/>
    <w:rsid w:val="00282AB1"/>
    <w:rsid w:val="002844E4"/>
    <w:rsid w:val="002947B5"/>
    <w:rsid w:val="002A23CF"/>
    <w:rsid w:val="002B398D"/>
    <w:rsid w:val="002E2CF8"/>
    <w:rsid w:val="002E32F6"/>
    <w:rsid w:val="002E4004"/>
    <w:rsid w:val="00331E0B"/>
    <w:rsid w:val="00331EA9"/>
    <w:rsid w:val="00343A99"/>
    <w:rsid w:val="003766A3"/>
    <w:rsid w:val="003A1A1C"/>
    <w:rsid w:val="003B781F"/>
    <w:rsid w:val="003D2DCB"/>
    <w:rsid w:val="003F2EC1"/>
    <w:rsid w:val="004074A9"/>
    <w:rsid w:val="00407CB6"/>
    <w:rsid w:val="004110FB"/>
    <w:rsid w:val="004148CA"/>
    <w:rsid w:val="00430918"/>
    <w:rsid w:val="00444752"/>
    <w:rsid w:val="00452383"/>
    <w:rsid w:val="00454920"/>
    <w:rsid w:val="00471242"/>
    <w:rsid w:val="0047347B"/>
    <w:rsid w:val="00484A63"/>
    <w:rsid w:val="00486B25"/>
    <w:rsid w:val="004A33D8"/>
    <w:rsid w:val="004E02F0"/>
    <w:rsid w:val="004E5257"/>
    <w:rsid w:val="004F3656"/>
    <w:rsid w:val="00533B9E"/>
    <w:rsid w:val="00592C9F"/>
    <w:rsid w:val="005971A9"/>
    <w:rsid w:val="005C2543"/>
    <w:rsid w:val="005C2853"/>
    <w:rsid w:val="005D2594"/>
    <w:rsid w:val="0060759E"/>
    <w:rsid w:val="00626453"/>
    <w:rsid w:val="0064641D"/>
    <w:rsid w:val="00663AA2"/>
    <w:rsid w:val="00671C97"/>
    <w:rsid w:val="006864C9"/>
    <w:rsid w:val="0069037E"/>
    <w:rsid w:val="006924B9"/>
    <w:rsid w:val="00692CD0"/>
    <w:rsid w:val="0069667E"/>
    <w:rsid w:val="006B28F4"/>
    <w:rsid w:val="00700180"/>
    <w:rsid w:val="007014FB"/>
    <w:rsid w:val="0070586C"/>
    <w:rsid w:val="0071300B"/>
    <w:rsid w:val="007374CF"/>
    <w:rsid w:val="00750B56"/>
    <w:rsid w:val="00752927"/>
    <w:rsid w:val="007A5A2F"/>
    <w:rsid w:val="007D1421"/>
    <w:rsid w:val="007F04B0"/>
    <w:rsid w:val="007F24B5"/>
    <w:rsid w:val="007F4351"/>
    <w:rsid w:val="007F6D75"/>
    <w:rsid w:val="00805FE2"/>
    <w:rsid w:val="00817C22"/>
    <w:rsid w:val="0082407F"/>
    <w:rsid w:val="00825762"/>
    <w:rsid w:val="0083129D"/>
    <w:rsid w:val="0084066F"/>
    <w:rsid w:val="008417D5"/>
    <w:rsid w:val="00843266"/>
    <w:rsid w:val="008520AD"/>
    <w:rsid w:val="00857F1D"/>
    <w:rsid w:val="00865A6C"/>
    <w:rsid w:val="0086732D"/>
    <w:rsid w:val="008720E0"/>
    <w:rsid w:val="00874E9B"/>
    <w:rsid w:val="008767B3"/>
    <w:rsid w:val="00885AA2"/>
    <w:rsid w:val="00894C53"/>
    <w:rsid w:val="00896BC7"/>
    <w:rsid w:val="008C3CDC"/>
    <w:rsid w:val="008F2E26"/>
    <w:rsid w:val="00910919"/>
    <w:rsid w:val="00912887"/>
    <w:rsid w:val="00915A78"/>
    <w:rsid w:val="00917137"/>
    <w:rsid w:val="00951798"/>
    <w:rsid w:val="009534C6"/>
    <w:rsid w:val="009543CB"/>
    <w:rsid w:val="00961BE4"/>
    <w:rsid w:val="009661CA"/>
    <w:rsid w:val="0097143B"/>
    <w:rsid w:val="00983CAD"/>
    <w:rsid w:val="009D1D58"/>
    <w:rsid w:val="009F1BBA"/>
    <w:rsid w:val="00A042DF"/>
    <w:rsid w:val="00A04AD5"/>
    <w:rsid w:val="00A27308"/>
    <w:rsid w:val="00A33AB9"/>
    <w:rsid w:val="00A459DF"/>
    <w:rsid w:val="00A5035B"/>
    <w:rsid w:val="00A56AFF"/>
    <w:rsid w:val="00A74C24"/>
    <w:rsid w:val="00A854BA"/>
    <w:rsid w:val="00A872D0"/>
    <w:rsid w:val="00AA5742"/>
    <w:rsid w:val="00AD13C0"/>
    <w:rsid w:val="00AD5864"/>
    <w:rsid w:val="00AE668F"/>
    <w:rsid w:val="00AF1434"/>
    <w:rsid w:val="00B038E5"/>
    <w:rsid w:val="00B074B9"/>
    <w:rsid w:val="00B417C8"/>
    <w:rsid w:val="00B46FBF"/>
    <w:rsid w:val="00BB17B2"/>
    <w:rsid w:val="00BC3B9E"/>
    <w:rsid w:val="00BD44EA"/>
    <w:rsid w:val="00BF33A8"/>
    <w:rsid w:val="00C15EB3"/>
    <w:rsid w:val="00C24B62"/>
    <w:rsid w:val="00C345C6"/>
    <w:rsid w:val="00C35DDA"/>
    <w:rsid w:val="00C53F66"/>
    <w:rsid w:val="00C73CA5"/>
    <w:rsid w:val="00C82FED"/>
    <w:rsid w:val="00C90984"/>
    <w:rsid w:val="00CC3B9E"/>
    <w:rsid w:val="00CE291A"/>
    <w:rsid w:val="00D07CF7"/>
    <w:rsid w:val="00D14368"/>
    <w:rsid w:val="00D33157"/>
    <w:rsid w:val="00D46152"/>
    <w:rsid w:val="00D475A9"/>
    <w:rsid w:val="00D76D34"/>
    <w:rsid w:val="00DB725C"/>
    <w:rsid w:val="00DC55D4"/>
    <w:rsid w:val="00DE1ABB"/>
    <w:rsid w:val="00DE5ACB"/>
    <w:rsid w:val="00DF6A65"/>
    <w:rsid w:val="00E05E15"/>
    <w:rsid w:val="00E23B76"/>
    <w:rsid w:val="00E304D7"/>
    <w:rsid w:val="00E32114"/>
    <w:rsid w:val="00E431DA"/>
    <w:rsid w:val="00E82CE4"/>
    <w:rsid w:val="00EA2DD5"/>
    <w:rsid w:val="00EB5E6E"/>
    <w:rsid w:val="00ED07A0"/>
    <w:rsid w:val="00ED225C"/>
    <w:rsid w:val="00ED33A4"/>
    <w:rsid w:val="00ED6EE6"/>
    <w:rsid w:val="00EF5742"/>
    <w:rsid w:val="00F00078"/>
    <w:rsid w:val="00F251CF"/>
    <w:rsid w:val="00F4410E"/>
    <w:rsid w:val="00F45369"/>
    <w:rsid w:val="00F46ED6"/>
    <w:rsid w:val="00F51AEE"/>
    <w:rsid w:val="00F53AB8"/>
    <w:rsid w:val="00F53F03"/>
    <w:rsid w:val="00F6598E"/>
    <w:rsid w:val="00F8093F"/>
    <w:rsid w:val="00F9338A"/>
    <w:rsid w:val="00F93768"/>
    <w:rsid w:val="00F971CB"/>
    <w:rsid w:val="00FB4182"/>
    <w:rsid w:val="00FC2948"/>
    <w:rsid w:val="00FE1A02"/>
    <w:rsid w:val="02251150"/>
    <w:rsid w:val="0301738B"/>
    <w:rsid w:val="03561E73"/>
    <w:rsid w:val="039C5442"/>
    <w:rsid w:val="0B572153"/>
    <w:rsid w:val="115A17B7"/>
    <w:rsid w:val="11A025A1"/>
    <w:rsid w:val="140D0015"/>
    <w:rsid w:val="15FA1551"/>
    <w:rsid w:val="18244B83"/>
    <w:rsid w:val="1BAC2E22"/>
    <w:rsid w:val="1C5729F4"/>
    <w:rsid w:val="1CDB6D44"/>
    <w:rsid w:val="226801DA"/>
    <w:rsid w:val="2F044911"/>
    <w:rsid w:val="344E5FF7"/>
    <w:rsid w:val="349B4E0A"/>
    <w:rsid w:val="34CA155F"/>
    <w:rsid w:val="35103654"/>
    <w:rsid w:val="36B0276A"/>
    <w:rsid w:val="39BF08E3"/>
    <w:rsid w:val="41DA5668"/>
    <w:rsid w:val="428B4A24"/>
    <w:rsid w:val="469A07C4"/>
    <w:rsid w:val="480269CE"/>
    <w:rsid w:val="4D1A2C2C"/>
    <w:rsid w:val="4D63170E"/>
    <w:rsid w:val="4FEE3846"/>
    <w:rsid w:val="53170B8A"/>
    <w:rsid w:val="531B0775"/>
    <w:rsid w:val="546879C1"/>
    <w:rsid w:val="57004075"/>
    <w:rsid w:val="589C413F"/>
    <w:rsid w:val="58C71B35"/>
    <w:rsid w:val="5C9A51A4"/>
    <w:rsid w:val="5CED138C"/>
    <w:rsid w:val="5D027239"/>
    <w:rsid w:val="5ED8049D"/>
    <w:rsid w:val="5EDA1C5B"/>
    <w:rsid w:val="608B4279"/>
    <w:rsid w:val="675B4553"/>
    <w:rsid w:val="683230C8"/>
    <w:rsid w:val="69012898"/>
    <w:rsid w:val="69423BC9"/>
    <w:rsid w:val="6ECA6426"/>
    <w:rsid w:val="6F1F73DF"/>
    <w:rsid w:val="701B1D7B"/>
    <w:rsid w:val="711A3D49"/>
    <w:rsid w:val="72642F98"/>
    <w:rsid w:val="74FD4A5E"/>
    <w:rsid w:val="77230CB5"/>
    <w:rsid w:val="7AC72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9A3B78BB-F62D-460A-A805-6374DBA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spacing w:line="540" w:lineRule="exact"/>
      <w:ind w:firstLineChars="200" w:firstLine="643"/>
      <w:jc w:val="both"/>
    </w:pPr>
    <w:rPr>
      <w:rFonts w:eastAsia="仿宋_GB2312"/>
      <w:kern w:val="2"/>
      <w:sz w:val="3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spacing w:after="120"/>
    </w:pPr>
  </w:style>
  <w:style w:type="paragraph" w:styleId="a4">
    <w:name w:val="Balloon Text"/>
    <w:basedOn w:val="a"/>
    <w:link w:val="Char"/>
    <w:autoRedefine/>
    <w:qFormat/>
    <w:pPr>
      <w:spacing w:line="240" w:lineRule="auto"/>
    </w:pPr>
    <w:rPr>
      <w:sz w:val="18"/>
      <w:szCs w:val="18"/>
    </w:rPr>
  </w:style>
  <w:style w:type="paragraph" w:styleId="a5">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6">
    <w:name w:val="header"/>
    <w:basedOn w:val="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autoRedefine/>
    <w:uiPriority w:val="99"/>
    <w:qFormat/>
    <w:pPr>
      <w:ind w:firstLine="420"/>
    </w:pPr>
  </w:style>
  <w:style w:type="character" w:customStyle="1" w:styleId="Char">
    <w:name w:val="批注框文本 Char"/>
    <w:basedOn w:val="a0"/>
    <w:link w:val="a4"/>
    <w:autoRedefine/>
    <w:qFormat/>
    <w:rPr>
      <w:rFonts w:ascii="Times New Roman" w:eastAsia="仿宋_GB2312" w:hAnsi="Times New Roman" w:cs="Times New Roman"/>
      <w:kern w:val="2"/>
      <w:sz w:val="18"/>
      <w:szCs w:val="18"/>
    </w:rPr>
  </w:style>
  <w:style w:type="character" w:customStyle="1" w:styleId="Char0">
    <w:name w:val="页脚 Char"/>
    <w:basedOn w:val="a0"/>
    <w:link w:val="a5"/>
    <w:autoRedefine/>
    <w:uiPriority w:val="99"/>
    <w:qFormat/>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1767</Words>
  <Characters>37</Characters>
  <Application>Microsoft Office Word</Application>
  <DocSecurity>0</DocSecurity>
  <Lines>1</Lines>
  <Paragraphs>3</Paragraphs>
  <ScaleCrop>false</ScaleCrop>
  <Company>Microsoft</Company>
  <LinksUpToDate>false</LinksUpToDate>
  <CharactersWithSpaces>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北京科技大学</cp:lastModifiedBy>
  <cp:revision>2</cp:revision>
  <cp:lastPrinted>2025-04-25T08:59:00Z</cp:lastPrinted>
  <dcterms:created xsi:type="dcterms:W3CDTF">2025-04-25T07:35:00Z</dcterms:created>
  <dcterms:modified xsi:type="dcterms:W3CDTF">2025-04-27T08:13:00Z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eyJoZGlkIjoiYWEwZDI0ODAxODY5MzM4ZjBlMzc2OGZkZTYzMzNhMjEiLCJ1c2VySWQiOiIxMTYxNDkwMzg5In0=</vt:lpwstr>
  </property>
  <property fmtid="{D5CDD505-2E9C-101B-9397-08002B2CF9AE}" pid="4" name="ICV">
    <vt:lpwstr>68EBA0D8E001496B9AD7CDB4EBC8FCF4_13</vt:lpwstr>
  </property>
</Properties>
</file>