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6992B">
      <w:pPr>
        <w:pageBreakBefore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478EE9C0">
      <w:pPr>
        <w:pStyle w:val="4"/>
        <w:spacing w:after="217" w:afterLines="50"/>
      </w:pPr>
      <w:r>
        <w:rPr>
          <w:rFonts w:hint="eastAsia"/>
        </w:rPr>
        <w:t>长摘要模板及格式要求</w:t>
      </w:r>
    </w:p>
    <w:p w14:paraId="50AA5080">
      <w:pPr>
        <w:widowControl/>
        <w:spacing w:line="300" w:lineRule="auto"/>
        <w:jc w:val="center"/>
        <w:rPr>
          <w:rFonts w:ascii="黑体" w:hAnsi="黑体" w:eastAsia="黑体" w:cs="Times New Roman"/>
          <w:spacing w:val="10"/>
          <w:kern w:val="0"/>
          <w:szCs w:val="32"/>
        </w:rPr>
      </w:pPr>
      <w:r>
        <w:rPr>
          <w:rFonts w:ascii="黑体" w:hAnsi="黑体" w:eastAsia="黑体" w:cs="Times New Roman"/>
          <w:bCs/>
          <w:spacing w:val="10"/>
          <w:kern w:val="0"/>
          <w:szCs w:val="32"/>
        </w:rPr>
        <w:t>论文题目</w:t>
      </w:r>
    </w:p>
    <w:p w14:paraId="30DF31F7">
      <w:pPr>
        <w:widowControl/>
        <w:spacing w:line="300" w:lineRule="auto"/>
        <w:jc w:val="center"/>
        <w:rPr>
          <w:rFonts w:ascii="楷体_GB2312" w:hAnsi="Times New Roman" w:eastAsia="楷体_GB2312" w:cs="Times New Roman"/>
          <w:kern w:val="0"/>
          <w:sz w:val="24"/>
          <w:szCs w:val="24"/>
        </w:rPr>
      </w:pPr>
      <w:r>
        <w:rPr>
          <w:rFonts w:hint="eastAsia" w:ascii="楷体_GB2312" w:hAnsi="Times New Roman" w:eastAsia="楷体_GB2312" w:cs="Times New Roman"/>
          <w:kern w:val="0"/>
          <w:sz w:val="24"/>
          <w:szCs w:val="24"/>
        </w:rPr>
        <w:t>作者1，作者2，……，</w:t>
      </w:r>
    </w:p>
    <w:p w14:paraId="7D8CA70B">
      <w:pPr>
        <w:widowControl/>
        <w:spacing w:line="300" w:lineRule="auto"/>
        <w:jc w:val="center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作者单位，城市，邮编</w:t>
      </w:r>
    </w:p>
    <w:p w14:paraId="17F15ACB">
      <w:pPr>
        <w:widowControl/>
        <w:spacing w:line="300" w:lineRule="auto"/>
        <w:jc w:val="center"/>
        <w:rPr>
          <w:rFonts w:ascii="Times New Roman" w:hAnsi="Times New Roman" w:eastAsia="宋体" w:cs="Times New Roman"/>
          <w:kern w:val="0"/>
          <w:sz w:val="18"/>
          <w:szCs w:val="18"/>
        </w:rPr>
      </w:pPr>
    </w:p>
    <w:p w14:paraId="2134D2B9">
      <w:pPr>
        <w:spacing w:line="300" w:lineRule="auto"/>
        <w:ind w:firstLine="42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ascii="Times New Roman" w:hAnsi="Times New Roman" w:eastAsia="宋体" w:cs="Times New Roman"/>
          <w:sz w:val="21"/>
          <w:szCs w:val="24"/>
        </w:rPr>
        <w:t>齿轮、螺栓、弹簧、轴承等基础件是机器制造的基础，其品质决定了机器的性能。它们在机器中的作用各不相同，服役环境也是多种多样，失效方式也是多样化的。但是，疲劳破坏问题是它们的一个共性问题。</w:t>
      </w:r>
    </w:p>
    <w:p w14:paraId="0284C6CC">
      <w:pPr>
        <w:spacing w:line="300" w:lineRule="auto"/>
        <w:ind w:firstLine="42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ascii="Times New Roman" w:hAnsi="Times New Roman" w:eastAsia="宋体" w:cs="Times New Roman"/>
          <w:sz w:val="21"/>
          <w:szCs w:val="24"/>
        </w:rPr>
        <w:t>随着轻量化和功率密度的持续提高，要求基础件的强度不断提高，现在已经研发和开始应用的齿轮钢、螺栓钢、弹簧钢、轴承钢的抗拉强度可以分别达到了1200、1600、2100、2200MPa（HRC60），碳含量从低碳到超高碳的范围。基础件疲劳破坏问题随着强度的提高愈发明显，对材料的品质要求也是越来越高。</w:t>
      </w:r>
    </w:p>
    <w:p w14:paraId="3ACB2D71">
      <w:pPr>
        <w:spacing w:line="300" w:lineRule="auto"/>
        <w:ind w:firstLine="42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ascii="Times New Roman" w:hAnsi="Times New Roman" w:eastAsia="宋体" w:cs="Times New Roman"/>
          <w:sz w:val="21"/>
          <w:szCs w:val="24"/>
        </w:rPr>
        <w:t>在服役过程中，齿轮的疲劳失效方式主要是弯齿疲劳和齿面疲劳；螺栓的疲劳破坏主要源自过渡部分的表面；弹簧的疲劳破坏主要源自拉压剪切应力作用下的表面；轴承的疲劳失效主要是滚动接触疲劳。每一种基础件的疲劳失效均有其特殊的方式，反应在材料质量方面主要是脆性夹杂物、碳化物、组织性与表面状态等要素。现在，渗碳齿轮钢的弯曲疲劳强度可以达到900MPa，超高强度螺栓钢的弯曲疲劳强度达到800MPa，超高强度弹簧钢的弯曲疲劳强度可以达到1000MPa，GCr15轴承钢的接触疲劳寿命L10可以超过107。如果考虑到服役载荷方式，可以细化材料生产中的质量控制，特别是夹杂物、碳化物、组织的更加经济的有效调控，乃至定制化材料。所以，从改善抗疲劳破坏性能的角度出发，更是需要强化材料生产与基础件制造两个领域的相互匹配。</w:t>
      </w:r>
    </w:p>
    <w:p w14:paraId="1F9B1DC6">
      <w:pPr>
        <w:spacing w:line="300" w:lineRule="auto"/>
        <w:ind w:firstLine="42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hint="eastAsia" w:ascii="Times New Roman" w:hAnsi="Times New Roman" w:eastAsia="宋体" w:cs="Times New Roman"/>
          <w:sz w:val="21"/>
          <w:szCs w:val="24"/>
        </w:rPr>
        <w:t>本文是会议论文大摘要模板</w:t>
      </w:r>
      <w:r>
        <w:rPr>
          <w:rFonts w:ascii="Times New Roman" w:hAnsi="Times New Roman" w:eastAsia="宋体" w:cs="Times New Roman"/>
          <w:sz w:val="21"/>
          <w:szCs w:val="24"/>
        </w:rPr>
        <w:t>，</w:t>
      </w:r>
      <w:r>
        <w:rPr>
          <w:rFonts w:hint="eastAsia" w:ascii="Times New Roman" w:hAnsi="Times New Roman" w:eastAsia="宋体" w:cs="Times New Roman"/>
          <w:sz w:val="21"/>
          <w:szCs w:val="24"/>
        </w:rPr>
        <w:t>摘要</w:t>
      </w:r>
      <w:r>
        <w:rPr>
          <w:rFonts w:ascii="Times New Roman" w:hAnsi="Times New Roman" w:eastAsia="宋体" w:cs="Times New Roman"/>
          <w:sz w:val="21"/>
          <w:szCs w:val="24"/>
        </w:rPr>
        <w:t>中相关格式（页面、版心、字体、字号等）已在本文中进行了定义，只需修改内容即可。</w:t>
      </w:r>
    </w:p>
    <w:p w14:paraId="1CD1F79E">
      <w:pPr>
        <w:widowControl/>
        <w:spacing w:line="300" w:lineRule="auto"/>
        <w:rPr>
          <w:rFonts w:ascii="Times New Roman" w:hAnsi="Times New Roman" w:eastAsia="黑体" w:cs="Times New Roman"/>
          <w:kern w:val="0"/>
          <w:sz w:val="24"/>
          <w:szCs w:val="24"/>
        </w:rPr>
      </w:pPr>
    </w:p>
    <w:p w14:paraId="3E153533">
      <w:pPr>
        <w:widowControl/>
        <w:spacing w:line="300" w:lineRule="auto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24"/>
          <w:szCs w:val="24"/>
        </w:rPr>
        <w:t>论文排版要求：</w:t>
      </w:r>
    </w:p>
    <w:p w14:paraId="4EA6C656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论文篇幅：一页（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不超过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1000字）。</w:t>
      </w:r>
    </w:p>
    <w:p w14:paraId="6F139ECA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页面：A4标准（宽~210mm，长~297mm）。</w:t>
      </w:r>
    </w:p>
    <w:p w14:paraId="5EBFAB82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论文题目：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三号黑体，居中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。</w:t>
      </w:r>
    </w:p>
    <w:p w14:paraId="7A238B71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作者名：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小四号楷体，居中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。</w:t>
      </w:r>
    </w:p>
    <w:p w14:paraId="40A95980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单位名、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城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市名、邮编：小五号宋体，居中，下空一行。</w:t>
      </w:r>
    </w:p>
    <w:p w14:paraId="3BDB4942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摘要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正文：五号宋体</w:t>
      </w:r>
    </w:p>
    <w:p w14:paraId="669646EF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摘要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中小标题：小四号黑体。</w:t>
      </w:r>
    </w:p>
    <w:p w14:paraId="2E2C367C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图表：图表应与正文上下、左右都需隔一行或一字的空隙。图表标题字体为小五号宋体。</w:t>
      </w:r>
    </w:p>
    <w:p w14:paraId="71330FF5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参考文献：小五号宋体，引用不超过5篇。</w:t>
      </w:r>
    </w:p>
    <w:p w14:paraId="4EF80CD5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英文字体：文中所有英文、数字、符号均采用Times New Roman字体。</w:t>
      </w:r>
    </w:p>
    <w:p w14:paraId="1D1137B3">
      <w:pPr>
        <w:widowControl/>
        <w:spacing w:line="300" w:lineRule="auto"/>
        <w:ind w:firstLine="420" w:firstLineChars="200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行距：全篇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</w:rPr>
        <w:t>摘要</w:t>
      </w:r>
      <w:r>
        <w:rPr>
          <w:rFonts w:ascii="Times New Roman" w:hAnsi="Times New Roman" w:eastAsia="宋体" w:cs="Times New Roman"/>
          <w:kern w:val="0"/>
          <w:sz w:val="21"/>
          <w:szCs w:val="21"/>
        </w:rPr>
        <w:t>采用1.25倍行距。</w:t>
      </w:r>
    </w:p>
    <w:p w14:paraId="38928C38">
      <w:pPr>
        <w:widowControl/>
        <w:spacing w:line="300" w:lineRule="auto"/>
        <w:jc w:val="center"/>
        <w:rPr>
          <w:rFonts w:ascii="Times New Roman" w:hAnsi="Times New Roman" w:eastAsia="黑体" w:cs="Times New Roman"/>
          <w:kern w:val="0"/>
          <w:sz w:val="21"/>
          <w:szCs w:val="21"/>
        </w:rPr>
      </w:pPr>
      <w:r>
        <w:rPr>
          <w:rFonts w:ascii="Times New Roman" w:hAnsi="黑体" w:eastAsia="黑体" w:cs="Times New Roman"/>
          <w:kern w:val="0"/>
          <w:sz w:val="24"/>
          <w:szCs w:val="24"/>
        </w:rPr>
        <w:t>参考文献</w:t>
      </w:r>
    </w:p>
    <w:p w14:paraId="691A110A">
      <w:pPr>
        <w:widowControl/>
        <w:numPr>
          <w:ilvl w:val="0"/>
          <w:numId w:val="1"/>
        </w:numPr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作者1，作者2，作者3等，</w:t>
      </w:r>
      <w:r>
        <w:rPr>
          <w:rFonts w:ascii="Times New Roman" w:hAnsi="Times New Roman" w:eastAsia="宋体" w:cs="Times New Roman"/>
          <w:i/>
          <w:iCs/>
          <w:kern w:val="0"/>
          <w:sz w:val="18"/>
          <w:szCs w:val="18"/>
        </w:rPr>
        <w:t>XX期刊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，2005，</w:t>
      </w:r>
      <w:r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  <w:t>33(5)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：22-28</w:t>
      </w:r>
    </w:p>
    <w:p w14:paraId="280C9E87">
      <w:pPr>
        <w:widowControl/>
        <w:numPr>
          <w:ilvl w:val="0"/>
          <w:numId w:val="1"/>
        </w:numPr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  <w:lang w:val="de-DE" w:eastAsia="en-US"/>
        </w:rPr>
      </w:pPr>
      <w:r>
        <w:rPr>
          <w:rFonts w:ascii="Times New Roman" w:hAnsi="Times New Roman" w:eastAsia="宋体" w:cs="Times New Roman"/>
          <w:kern w:val="0"/>
          <w:sz w:val="18"/>
          <w:szCs w:val="18"/>
          <w:lang w:val="de-DE"/>
        </w:rPr>
        <w:t xml:space="preserve">A. Gelman, J. B. Carlin, H. S. Stern et al., </w:t>
      </w:r>
      <w:r>
        <w:rPr>
          <w:rFonts w:ascii="Times New Roman" w:hAnsi="Times New Roman" w:eastAsia="宋体" w:cs="Times New Roman"/>
          <w:i/>
          <w:iCs/>
          <w:kern w:val="0"/>
          <w:sz w:val="18"/>
          <w:szCs w:val="18"/>
          <w:lang w:val="de-DE"/>
        </w:rPr>
        <w:t>J Xxx</w:t>
      </w:r>
      <w:r>
        <w:rPr>
          <w:rFonts w:ascii="Times New Roman" w:hAnsi="Times New Roman" w:eastAsia="宋体" w:cs="Times New Roman"/>
          <w:kern w:val="0"/>
          <w:sz w:val="18"/>
          <w:szCs w:val="18"/>
          <w:lang w:val="de-DE"/>
        </w:rPr>
        <w:t xml:space="preserve">,2011, </w:t>
      </w:r>
      <w:r>
        <w:rPr>
          <w:rFonts w:ascii="Times New Roman" w:hAnsi="Times New Roman" w:eastAsia="宋体" w:cs="Times New Roman"/>
          <w:b/>
          <w:bCs/>
          <w:kern w:val="0"/>
          <w:sz w:val="18"/>
          <w:szCs w:val="18"/>
          <w:lang w:val="de-DE"/>
        </w:rPr>
        <w:t>44(6)</w:t>
      </w:r>
      <w:r>
        <w:rPr>
          <w:rFonts w:ascii="Times New Roman" w:hAnsi="Times New Roman" w:eastAsia="宋体" w:cs="Times New Roman"/>
          <w:kern w:val="0"/>
          <w:sz w:val="18"/>
          <w:szCs w:val="18"/>
          <w:lang w:val="de-DE"/>
        </w:rPr>
        <w:t>:77-83</w:t>
      </w:r>
    </w:p>
    <w:p w14:paraId="072A581E">
      <w:pPr>
        <w:widowControl/>
        <w:numPr>
          <w:ilvl w:val="0"/>
          <w:numId w:val="1"/>
        </w:numPr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  <w:lang w:eastAsia="en-US"/>
        </w:rPr>
      </w:pPr>
      <w:r>
        <w:rPr>
          <w:rFonts w:ascii="Times New Roman" w:hAnsi="Times New Roman" w:eastAsia="AdvMYR4" w:cs="Times New Roman"/>
          <w:kern w:val="0"/>
          <w:sz w:val="18"/>
          <w:szCs w:val="18"/>
          <w:lang w:eastAsia="en-US"/>
        </w:rPr>
        <w:t>F. Cavani, G. Centi, P. Marion</w:t>
      </w:r>
      <w:r>
        <w:rPr>
          <w:rFonts w:ascii="Times New Roman" w:hAnsi="Times New Roman" w:eastAsia="AdvMYR4" w:cs="Times New Roman"/>
          <w:kern w:val="0"/>
          <w:sz w:val="18"/>
          <w:szCs w:val="18"/>
        </w:rPr>
        <w:t>,</w:t>
      </w:r>
      <w:r>
        <w:rPr>
          <w:rFonts w:ascii="Times New Roman" w:hAnsi="Times New Roman" w:eastAsia="AdvMYR4" w:cs="Times New Roman"/>
          <w:kern w:val="0"/>
          <w:sz w:val="18"/>
          <w:szCs w:val="18"/>
          <w:lang w:eastAsia="en-US"/>
        </w:rPr>
        <w:t xml:space="preserve"> in </w:t>
      </w:r>
      <w:r>
        <w:rPr>
          <w:rFonts w:ascii="Times New Roman" w:hAnsi="Times New Roman" w:eastAsia="AdvMYR4I" w:cs="Times New Roman"/>
          <w:i/>
          <w:kern w:val="0"/>
          <w:sz w:val="18"/>
          <w:szCs w:val="18"/>
          <w:lang w:eastAsia="en-US"/>
        </w:rPr>
        <w:t>Metal Oxide Catalysis</w:t>
      </w:r>
      <w:r>
        <w:rPr>
          <w:rFonts w:ascii="Times New Roman" w:hAnsi="Times New Roman" w:eastAsia="AdvMYR4" w:cs="Times New Roman"/>
          <w:kern w:val="0"/>
          <w:sz w:val="18"/>
          <w:szCs w:val="18"/>
          <w:lang w:eastAsia="en-US"/>
        </w:rPr>
        <w:t xml:space="preserve">, Wiley-VCH, Weinheim, </w:t>
      </w:r>
      <w:r>
        <w:rPr>
          <w:rFonts w:ascii="Times New Roman" w:hAnsi="Times New Roman" w:eastAsia="AdvMYR6" w:cs="Times New Roman"/>
          <w:kern w:val="0"/>
          <w:sz w:val="18"/>
          <w:szCs w:val="18"/>
          <w:lang w:eastAsia="en-US"/>
        </w:rPr>
        <w:t>2009</w:t>
      </w:r>
    </w:p>
    <w:p w14:paraId="7E833DC7">
      <w:pPr>
        <w:widowControl/>
        <w:numPr>
          <w:ilvl w:val="0"/>
          <w:numId w:val="1"/>
        </w:numPr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作者1，作者2，</w:t>
      </w:r>
      <w:r>
        <w:rPr>
          <w:rFonts w:ascii="Times New Roman" w:hAnsi="Times New Roman" w:eastAsia="宋体" w:cs="Times New Roman"/>
          <w:i/>
          <w:iCs/>
          <w:kern w:val="0"/>
          <w:sz w:val="18"/>
          <w:szCs w:val="18"/>
        </w:rPr>
        <w:t>第XX届全国XX会论文集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，北京，XX出版社，2015，p76-77</w:t>
      </w:r>
    </w:p>
    <w:p w14:paraId="0BE5F50E">
      <w:pPr>
        <w:widowControl/>
        <w:numPr>
          <w:ilvl w:val="0"/>
          <w:numId w:val="1"/>
        </w:numPr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  <w:lang w:eastAsia="en-US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M. R. Apelian, A. S. Fung, US P 5,242676, 1993</w:t>
      </w:r>
    </w:p>
    <w:p w14:paraId="0FF6D402">
      <w:pPr>
        <w:spacing w:before="217" w:beforeLines="50" w:line="240" w:lineRule="auto"/>
        <w:rPr>
          <w:rFonts w:ascii="宋体" w:hAnsi="宋体" w:eastAsia="宋体" w:cs="Times New Roman"/>
          <w:b/>
          <w:sz w:val="21"/>
          <w:szCs w:val="21"/>
        </w:rPr>
      </w:pPr>
    </w:p>
    <w:p w14:paraId="3F7F8F49"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961" w:right="1474" w:bottom="1847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vMYR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MYR4I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MYR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5FE90">
    <w:pPr>
      <w:pStyle w:val="2"/>
      <w:wordWrap w:val="0"/>
      <w:spacing w:line="480" w:lineRule="exact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8ECB4">
    <w:pPr>
      <w:pStyle w:val="2"/>
      <w:spacing w:line="480" w:lineRule="exact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9F11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61E07"/>
    <w:multiLevelType w:val="multilevel"/>
    <w:tmpl w:val="2CF61E07"/>
    <w:lvl w:ilvl="0" w:tentative="0">
      <w:start w:val="1"/>
      <w:numFmt w:val="decimal"/>
      <w:lvlText w:val="[%1] "/>
      <w:lvlJc w:val="left"/>
      <w:pPr>
        <w:tabs>
          <w:tab w:val="left" w:pos="420"/>
        </w:tabs>
        <w:ind w:left="420" w:hanging="420"/>
      </w:pPr>
      <w:rPr>
        <w:rFonts w:hint="eastAsia" w:eastAsia="宋体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50FDE"/>
    <w:rsid w:val="4735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5"/>
    <w:qFormat/>
    <w:uiPriority w:val="10"/>
    <w:pPr>
      <w:spacing w:line="700" w:lineRule="exact"/>
      <w:jc w:val="center"/>
    </w:pPr>
    <w:rPr>
      <w:rFonts w:eastAsia="小标宋"/>
      <w:sz w:val="44"/>
    </w:rPr>
  </w:style>
  <w:style w:type="paragraph" w:customStyle="1" w:styleId="5">
    <w:name w:val="公文-正文"/>
    <w:basedOn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2025-01-17T05:52:00Z</dcterms:created>
  <dc:creator>唐辛子</dc:creator>
  <cp:lastModifiedBy>唐辛子</cp:lastModifiedBy>
  <dcterms:modified xsi:type="dcterms:W3CDTF">2025-01-17T05:53:10Z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2661FBB0B0DB4343B82E81EC7C081BBA_11</vt:lpwstr>
  </property>
  <property fmtid="{D5CDD505-2E9C-101B-9397-08002B2CF9AE}" pid="4" name="KSOTemplateDocerSaveRecord">
    <vt:lpwstr>eyJoZGlkIjoiMGI4ZWJmMGQ5NzU2YTIzM2FjZDFlNzZkODk1MTNhZGQiLCJ1c2VySWQiOiI0Mjc1NDUwMTgifQ==</vt:lpwstr>
  </property>
</Properties>
</file>