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953F1">
      <w:pPr>
        <w:pStyle w:val="3"/>
        <w:spacing w:beforeLines="0" w:afterLines="0" w:line="560" w:lineRule="exact"/>
        <w:jc w:val="left"/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附件2</w:t>
      </w:r>
      <w:bookmarkStart w:id="7" w:name="_GoBack"/>
      <w:bookmarkEnd w:id="7"/>
    </w:p>
    <w:p w14:paraId="75BB12E5">
      <w:pPr>
        <w:rPr>
          <w:rFonts w:hint="default"/>
          <w:lang w:val="en-US" w:eastAsia="zh-CN"/>
        </w:rPr>
      </w:pPr>
    </w:p>
    <w:p w14:paraId="093EAB8E">
      <w:pPr>
        <w:pStyle w:val="3"/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kern w:val="2"/>
          <w:sz w:val="44"/>
          <w:szCs w:val="44"/>
          <w:lang w:val="en-US" w:eastAsia="zh-CN" w:bidi="ar-SA"/>
        </w:rPr>
        <w:t>科幻复合型人才培养计划资金管理办法</w:t>
      </w:r>
    </w:p>
    <w:p w14:paraId="6329E5A2">
      <w:pPr>
        <w:spacing w:beforeLines="0" w:afterLines="0" w:line="560" w:lineRule="exact"/>
        <w:jc w:val="center"/>
        <w:rPr>
          <w:rFonts w:hint="eastAsia" w:ascii="楷体_GB2312" w:hAnsi="方正大标宋简体" w:eastAsia="楷体_GB2312"/>
          <w:sz w:val="32"/>
          <w:szCs w:val="24"/>
        </w:rPr>
      </w:pPr>
    </w:p>
    <w:p w14:paraId="134F61E1">
      <w:pPr>
        <w:spacing w:beforeLines="0" w:afterLines="0"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 xml:space="preserve">第一条  </w:t>
      </w:r>
      <w:r>
        <w:rPr>
          <w:rFonts w:hint="eastAsia" w:ascii="仿宋_GB2312" w:hAnsi="仿宋" w:eastAsia="仿宋_GB2312"/>
          <w:kern w:val="0"/>
          <w:sz w:val="32"/>
          <w:szCs w:val="24"/>
        </w:rPr>
        <w:t>为规范</w:t>
      </w:r>
      <w:r>
        <w:rPr>
          <w:rFonts w:hint="eastAsia" w:ascii="仿宋_GB2312" w:hAnsi="仿宋" w:eastAsia="仿宋_GB2312"/>
          <w:kern w:val="0"/>
          <w:sz w:val="32"/>
          <w:szCs w:val="24"/>
          <w:lang w:eastAsia="zh-CN"/>
        </w:rPr>
        <w:t>科幻专项支持项目</w:t>
      </w:r>
      <w:r>
        <w:rPr>
          <w:rFonts w:hint="eastAsia" w:ascii="仿宋_GB2312" w:hAnsi="仿宋" w:eastAsia="仿宋_GB2312"/>
          <w:kern w:val="0"/>
          <w:sz w:val="32"/>
          <w:szCs w:val="24"/>
        </w:rPr>
        <w:t>资金管理，提高资金使用效益，根据国家、北京市相关文件精神，结合本项目实际情况，制定本办法。</w:t>
      </w:r>
    </w:p>
    <w:p w14:paraId="3DB5B848">
      <w:pPr>
        <w:spacing w:beforeLines="0" w:afterLines="0"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>第</w:t>
      </w:r>
      <w:r>
        <w:rPr>
          <w:rFonts w:hint="eastAsia" w:ascii="黑体" w:hAnsi="黑体" w:eastAsia="黑体"/>
          <w:kern w:val="0"/>
          <w:sz w:val="32"/>
          <w:szCs w:val="24"/>
          <w:lang w:eastAsia="zh-CN"/>
        </w:rPr>
        <w:t>二</w:t>
      </w:r>
      <w:r>
        <w:rPr>
          <w:rFonts w:hint="eastAsia" w:ascii="黑体" w:hAnsi="黑体" w:eastAsia="黑体"/>
          <w:kern w:val="0"/>
          <w:sz w:val="32"/>
          <w:szCs w:val="24"/>
        </w:rPr>
        <w:t xml:space="preserve">条  </w:t>
      </w:r>
      <w:r>
        <w:rPr>
          <w:rFonts w:hint="eastAsia" w:ascii="仿宋_GB2312" w:hAnsi="仿宋" w:eastAsia="仿宋_GB2312"/>
          <w:kern w:val="0"/>
          <w:sz w:val="32"/>
          <w:szCs w:val="24"/>
          <w:lang w:eastAsia="zh-CN"/>
        </w:rPr>
        <w:t>项目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实施采取“统一标准，公平公正，普惠扶持，择优竞争，重视管理，追绩问效”的方式进行。</w:t>
      </w:r>
    </w:p>
    <w:p w14:paraId="26FC8064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>第</w:t>
      </w:r>
      <w:r>
        <w:rPr>
          <w:rFonts w:hint="eastAsia" w:ascii="黑体" w:hAnsi="黑体" w:eastAsia="黑体"/>
          <w:kern w:val="0"/>
          <w:sz w:val="32"/>
          <w:szCs w:val="24"/>
          <w:lang w:eastAsia="zh-CN"/>
        </w:rPr>
        <w:t>三</w:t>
      </w:r>
      <w:r>
        <w:rPr>
          <w:rFonts w:hint="eastAsia" w:ascii="黑体" w:hAnsi="黑体" w:eastAsia="黑体"/>
          <w:kern w:val="0"/>
          <w:sz w:val="32"/>
          <w:szCs w:val="24"/>
        </w:rPr>
        <w:t xml:space="preserve">条  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资金按照定额资助，事前资助方式进行。获得资金资助的单位应将资助资金纳入单位财务统一管理，实行单独核算，确保专款专用，不得截留、挤占和挪用。</w:t>
      </w:r>
    </w:p>
    <w:p w14:paraId="1EA8FF31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>第</w:t>
      </w:r>
      <w:r>
        <w:rPr>
          <w:rFonts w:hint="eastAsia" w:ascii="黑体" w:hAnsi="黑体" w:eastAsia="黑体"/>
          <w:kern w:val="0"/>
          <w:sz w:val="32"/>
          <w:szCs w:val="24"/>
          <w:lang w:eastAsia="zh-CN"/>
        </w:rPr>
        <w:t>四</w:t>
      </w:r>
      <w:r>
        <w:rPr>
          <w:rFonts w:hint="eastAsia" w:ascii="黑体" w:hAnsi="黑体" w:eastAsia="黑体"/>
          <w:kern w:val="0"/>
          <w:sz w:val="32"/>
          <w:szCs w:val="24"/>
        </w:rPr>
        <w:t xml:space="preserve">条  </w:t>
      </w:r>
      <w:r>
        <w:rPr>
          <w:rFonts w:hint="eastAsia" w:ascii="仿宋_GB2312" w:hAnsi="仿宋" w:eastAsia="仿宋_GB2312"/>
          <w:kern w:val="0"/>
          <w:sz w:val="32"/>
          <w:szCs w:val="24"/>
          <w:lang w:eastAsia="zh-CN"/>
        </w:rPr>
        <w:t>项目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资助项目额度根据年度预算经费额度确定，</w:t>
      </w:r>
      <w:r>
        <w:rPr>
          <w:rFonts w:hint="eastAsia" w:ascii="仿宋_GB2312" w:hAnsi="仿宋_GB2312" w:eastAsia="仿宋_GB2312"/>
          <w:kern w:val="0"/>
          <w:sz w:val="32"/>
          <w:szCs w:val="24"/>
          <w:lang w:eastAsia="zh-CN"/>
        </w:rPr>
        <w:t>支持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开展科幻主题活动、科幻资源创作等工作</w:t>
      </w:r>
      <w:r>
        <w:rPr>
          <w:rFonts w:hint="eastAsia" w:ascii="仿宋_GB2312" w:hAnsi="仿宋" w:eastAsia="仿宋_GB2312"/>
          <w:sz w:val="32"/>
          <w:szCs w:val="24"/>
        </w:rPr>
        <w:t>。</w:t>
      </w:r>
    </w:p>
    <w:p w14:paraId="03D23054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>第</w:t>
      </w:r>
      <w:r>
        <w:rPr>
          <w:rFonts w:hint="eastAsia" w:ascii="黑体" w:hAnsi="黑体" w:eastAsia="黑体"/>
          <w:kern w:val="0"/>
          <w:sz w:val="32"/>
          <w:szCs w:val="24"/>
          <w:lang w:eastAsia="zh-CN"/>
        </w:rPr>
        <w:t>五</w:t>
      </w:r>
      <w:r>
        <w:rPr>
          <w:rFonts w:hint="eastAsia" w:ascii="黑体" w:hAnsi="黑体" w:eastAsia="黑体"/>
          <w:kern w:val="0"/>
          <w:sz w:val="32"/>
          <w:szCs w:val="24"/>
        </w:rPr>
        <w:t xml:space="preserve">条  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资金的支出范围包括：</w:t>
      </w:r>
    </w:p>
    <w:p w14:paraId="3BC1CFEE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  <w:lang w:eastAsia="zh-CN"/>
        </w:rPr>
      </w:pPr>
      <w:r>
        <w:rPr>
          <w:rFonts w:hint="eastAsia" w:ascii="仿宋_GB2312" w:hAnsi="仿宋_GB2312" w:eastAsia="仿宋_GB2312"/>
          <w:kern w:val="0"/>
          <w:sz w:val="32"/>
          <w:szCs w:val="24"/>
        </w:rPr>
        <w:t>（一）活动费。包括培训讲座费、展览活动费等。其中，培训讲座费是指为开展培训讲座过程中发生的聘请师资、租赁场地和设备、培训资料、伙食等费用；展览活动费是指举办</w:t>
      </w:r>
      <w:r>
        <w:rPr>
          <w:rFonts w:hint="eastAsia" w:ascii="仿宋_GB2312" w:hAnsi="仿宋_GB2312" w:eastAsia="仿宋_GB2312"/>
          <w:kern w:val="0"/>
          <w:sz w:val="32"/>
          <w:szCs w:val="24"/>
          <w:lang w:eastAsia="zh-CN"/>
        </w:rPr>
        <w:t>活动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宣传</w:t>
      </w:r>
      <w:r>
        <w:rPr>
          <w:rFonts w:hint="eastAsia" w:ascii="仿宋_GB2312" w:hAnsi="仿宋_GB2312" w:eastAsia="仿宋_GB2312"/>
          <w:kern w:val="0"/>
          <w:sz w:val="32"/>
          <w:szCs w:val="24"/>
          <w:lang w:eastAsia="zh-CN"/>
        </w:rPr>
        <w:t>、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展览</w:t>
      </w:r>
      <w:r>
        <w:rPr>
          <w:rFonts w:hint="eastAsia" w:ascii="仿宋_GB2312" w:hAnsi="仿宋_GB2312" w:eastAsia="仿宋_GB2312"/>
          <w:kern w:val="0"/>
          <w:sz w:val="32"/>
          <w:szCs w:val="24"/>
          <w:lang w:eastAsia="zh-CN"/>
        </w:rPr>
        <w:t>等活动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过程中发生的场地和设备租赁、搭建、运输、宣传和劳务等费用。</w:t>
      </w:r>
    </w:p>
    <w:p w14:paraId="3B1AF5EA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/>
          <w:kern w:val="0"/>
          <w:sz w:val="32"/>
          <w:szCs w:val="24"/>
        </w:rPr>
        <w:t>（二）资源经费。包括资料费、制作费等。其中，资料费是指为开展</w:t>
      </w:r>
      <w:r>
        <w:rPr>
          <w:rFonts w:hint="eastAsia" w:ascii="仿宋_GB2312" w:hAnsi="仿宋_GB2312" w:eastAsia="仿宋_GB2312"/>
          <w:kern w:val="0"/>
          <w:sz w:val="32"/>
          <w:szCs w:val="24"/>
          <w:lang w:eastAsia="zh-CN"/>
        </w:rPr>
        <w:t>项目工作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所需购买或制作</w:t>
      </w:r>
      <w:r>
        <w:rPr>
          <w:rFonts w:hint="eastAsia" w:ascii="仿宋_GB2312" w:hAnsi="仿宋_GB2312" w:eastAsia="仿宋_GB2312"/>
          <w:kern w:val="0"/>
          <w:sz w:val="32"/>
          <w:szCs w:val="24"/>
          <w:lang w:eastAsia="zh-CN"/>
        </w:rPr>
        <w:t>图书、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音像资料、宣传资料等纸质及数字化材料发生的费用；制作费是指视频、动漫</w:t>
      </w:r>
      <w:r>
        <w:rPr>
          <w:rFonts w:hint="eastAsia" w:ascii="仿宋_GB2312" w:hAnsi="仿宋_GB2312" w:eastAsia="仿宋_GB2312"/>
          <w:kern w:val="0"/>
          <w:sz w:val="32"/>
          <w:szCs w:val="24"/>
          <w:lang w:eastAsia="zh-CN"/>
        </w:rPr>
        <w:t>、</w:t>
      </w:r>
      <w:r>
        <w:rPr>
          <w:rFonts w:hint="eastAsia" w:ascii="仿宋_GB2312" w:hAnsi="仿宋_GB2312" w:eastAsia="仿宋_GB2312"/>
          <w:kern w:val="0"/>
          <w:sz w:val="32"/>
          <w:szCs w:val="24"/>
          <w:lang w:val="en-US" w:eastAsia="zh-CN"/>
        </w:rPr>
        <w:t>IP设计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等编创与制作过程中所发生的设备租赁、道具制作与租赁、搭建、运输等费用。</w:t>
      </w:r>
    </w:p>
    <w:p w14:paraId="1257A577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/>
          <w:kern w:val="0"/>
          <w:sz w:val="32"/>
          <w:szCs w:val="24"/>
        </w:rPr>
        <w:t>（三）其他费用。是指除上述各项费用支出以外的、开展</w:t>
      </w:r>
      <w:r>
        <w:rPr>
          <w:rFonts w:hint="eastAsia" w:ascii="仿宋_GB2312" w:hAnsi="仿宋_GB2312" w:eastAsia="仿宋_GB2312"/>
          <w:kern w:val="0"/>
          <w:sz w:val="32"/>
          <w:szCs w:val="24"/>
          <w:lang w:eastAsia="zh-CN"/>
        </w:rPr>
        <w:t>项目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工作过程中所发生的相关费用。</w:t>
      </w:r>
    </w:p>
    <w:p w14:paraId="0CEE4C73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>第</w:t>
      </w:r>
      <w:r>
        <w:rPr>
          <w:rFonts w:hint="eastAsia" w:ascii="黑体" w:hAnsi="黑体" w:eastAsia="黑体"/>
          <w:kern w:val="0"/>
          <w:sz w:val="32"/>
          <w:szCs w:val="24"/>
          <w:lang w:eastAsia="zh-CN"/>
        </w:rPr>
        <w:t>六</w:t>
      </w:r>
      <w:r>
        <w:rPr>
          <w:rFonts w:hint="eastAsia" w:ascii="黑体" w:hAnsi="黑体" w:eastAsia="黑体"/>
          <w:kern w:val="0"/>
          <w:sz w:val="32"/>
          <w:szCs w:val="24"/>
        </w:rPr>
        <w:t xml:space="preserve">条  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资金不得用于以下支出：</w:t>
      </w:r>
    </w:p>
    <w:p w14:paraId="77C4BFDE">
      <w:pPr>
        <w:spacing w:beforeLines="0" w:afterLines="0" w:line="560" w:lineRule="exact"/>
        <w:ind w:firstLine="640" w:firstLineChars="200"/>
        <w:outlineLvl w:val="0"/>
        <w:rPr>
          <w:rFonts w:hint="eastAsia" w:ascii="仿宋_GB2312" w:hAnsi="仿宋_GB2312" w:eastAsia="仿宋_GB2312"/>
          <w:kern w:val="0"/>
          <w:sz w:val="32"/>
          <w:szCs w:val="24"/>
        </w:rPr>
      </w:pPr>
      <w:bookmarkStart w:id="0" w:name="_Toc6040"/>
      <w:r>
        <w:rPr>
          <w:rFonts w:hint="eastAsia" w:ascii="仿宋_GB2312" w:hAnsi="仿宋_GB2312" w:eastAsia="仿宋_GB2312"/>
          <w:kern w:val="0"/>
          <w:sz w:val="32"/>
          <w:szCs w:val="24"/>
        </w:rPr>
        <w:t>（一）人员工资、福利和个人奖金支出。</w:t>
      </w:r>
      <w:bookmarkEnd w:id="0"/>
    </w:p>
    <w:p w14:paraId="1FC2F9E2">
      <w:pPr>
        <w:spacing w:beforeLines="0" w:afterLines="0" w:line="560" w:lineRule="exact"/>
        <w:ind w:firstLine="640" w:firstLineChars="200"/>
        <w:outlineLvl w:val="0"/>
        <w:rPr>
          <w:rFonts w:hint="eastAsia" w:ascii="仿宋_GB2312" w:hAnsi="仿宋_GB2312" w:eastAsia="仿宋_GB2312"/>
          <w:kern w:val="0"/>
          <w:sz w:val="32"/>
          <w:szCs w:val="24"/>
        </w:rPr>
      </w:pPr>
      <w:bookmarkStart w:id="1" w:name="_Toc9400"/>
      <w:r>
        <w:rPr>
          <w:rFonts w:hint="eastAsia" w:ascii="仿宋_GB2312" w:hAnsi="仿宋_GB2312" w:eastAsia="仿宋_GB2312"/>
          <w:kern w:val="0"/>
          <w:sz w:val="32"/>
          <w:szCs w:val="24"/>
        </w:rPr>
        <w:t>（二）日常办公、出国和业务招待支出。</w:t>
      </w:r>
      <w:bookmarkEnd w:id="1"/>
    </w:p>
    <w:p w14:paraId="48A2A189">
      <w:pPr>
        <w:spacing w:beforeLines="0" w:afterLines="0" w:line="560" w:lineRule="exact"/>
        <w:ind w:firstLine="640" w:firstLineChars="200"/>
        <w:outlineLvl w:val="0"/>
        <w:rPr>
          <w:rFonts w:hint="eastAsia" w:ascii="仿宋_GB2312" w:hAnsi="仿宋_GB2312" w:eastAsia="仿宋_GB2312"/>
          <w:kern w:val="0"/>
          <w:sz w:val="32"/>
          <w:szCs w:val="24"/>
        </w:rPr>
      </w:pPr>
      <w:bookmarkStart w:id="2" w:name="_Toc26844"/>
      <w:r>
        <w:rPr>
          <w:rFonts w:hint="eastAsia" w:ascii="仿宋_GB2312" w:hAnsi="仿宋_GB2312" w:eastAsia="仿宋_GB2312"/>
          <w:kern w:val="0"/>
          <w:sz w:val="32"/>
          <w:szCs w:val="24"/>
        </w:rPr>
        <w:t>（三）办公设备设施的维修改造、新增办公设备支出。</w:t>
      </w:r>
      <w:bookmarkEnd w:id="2"/>
    </w:p>
    <w:p w14:paraId="5C7181CD">
      <w:pPr>
        <w:spacing w:beforeLines="0" w:afterLines="0" w:line="560" w:lineRule="exact"/>
        <w:ind w:firstLine="640" w:firstLineChars="200"/>
        <w:outlineLvl w:val="0"/>
        <w:rPr>
          <w:rFonts w:hint="eastAsia" w:ascii="仿宋_GB2312" w:hAnsi="仿宋_GB2312" w:eastAsia="仿宋_GB2312"/>
          <w:kern w:val="0"/>
          <w:sz w:val="32"/>
          <w:szCs w:val="24"/>
        </w:rPr>
      </w:pPr>
      <w:bookmarkStart w:id="3" w:name="_Toc23066"/>
      <w:r>
        <w:rPr>
          <w:rFonts w:hint="eastAsia" w:ascii="仿宋_GB2312" w:hAnsi="仿宋_GB2312" w:eastAsia="仿宋_GB2312"/>
          <w:kern w:val="0"/>
          <w:sz w:val="32"/>
          <w:szCs w:val="24"/>
        </w:rPr>
        <w:t>（四）组织、管理和协调等各种管理性费用支出。</w:t>
      </w:r>
      <w:bookmarkEnd w:id="3"/>
    </w:p>
    <w:p w14:paraId="05D918C9">
      <w:pPr>
        <w:spacing w:beforeLines="0" w:afterLines="0" w:line="560" w:lineRule="exact"/>
        <w:ind w:firstLine="640" w:firstLineChars="200"/>
        <w:outlineLvl w:val="0"/>
        <w:rPr>
          <w:rFonts w:hint="eastAsia" w:ascii="仿宋_GB2312" w:hAnsi="仿宋_GB2312" w:eastAsia="仿宋_GB2312"/>
          <w:kern w:val="0"/>
          <w:sz w:val="32"/>
          <w:szCs w:val="24"/>
        </w:rPr>
      </w:pPr>
      <w:bookmarkStart w:id="4" w:name="_Toc3285"/>
      <w:r>
        <w:rPr>
          <w:rFonts w:hint="eastAsia" w:ascii="仿宋_GB2312" w:hAnsi="仿宋_GB2312" w:eastAsia="仿宋_GB2312"/>
          <w:kern w:val="0"/>
          <w:sz w:val="32"/>
          <w:szCs w:val="24"/>
        </w:rPr>
        <w:t>（五）罚款、还贷、捐赠、赞助、对外投资支出。</w:t>
      </w:r>
      <w:bookmarkEnd w:id="4"/>
    </w:p>
    <w:p w14:paraId="19F333DE">
      <w:pPr>
        <w:spacing w:beforeLines="0" w:afterLines="0" w:line="560" w:lineRule="exact"/>
        <w:ind w:firstLine="640" w:firstLineChars="200"/>
        <w:outlineLvl w:val="0"/>
        <w:rPr>
          <w:rFonts w:hint="eastAsia" w:ascii="仿宋_GB2312" w:hAnsi="仿宋_GB2312" w:eastAsia="仿宋_GB2312"/>
          <w:kern w:val="0"/>
          <w:sz w:val="32"/>
          <w:szCs w:val="24"/>
        </w:rPr>
      </w:pPr>
      <w:bookmarkStart w:id="5" w:name="_Toc25333"/>
      <w:r>
        <w:rPr>
          <w:rFonts w:hint="eastAsia" w:ascii="仿宋_GB2312" w:hAnsi="仿宋_GB2312" w:eastAsia="仿宋_GB2312"/>
          <w:kern w:val="0"/>
          <w:sz w:val="32"/>
          <w:szCs w:val="24"/>
        </w:rPr>
        <w:t>（六）</w:t>
      </w:r>
      <w:r>
        <w:rPr>
          <w:rFonts w:hint="eastAsia" w:ascii="仿宋_GB2312" w:hAnsi="仿宋" w:eastAsia="仿宋_GB2312"/>
          <w:kern w:val="0"/>
          <w:sz w:val="32"/>
          <w:szCs w:val="24"/>
        </w:rPr>
        <w:t>形成固定资产的设施设备支出。</w:t>
      </w:r>
      <w:bookmarkEnd w:id="5"/>
    </w:p>
    <w:p w14:paraId="70E73768">
      <w:pPr>
        <w:spacing w:beforeLines="0" w:afterLines="0" w:line="560" w:lineRule="exact"/>
        <w:ind w:firstLine="600"/>
        <w:outlineLvl w:val="0"/>
        <w:rPr>
          <w:rFonts w:hint="eastAsia" w:ascii="仿宋_GB2312" w:hAnsi="仿宋" w:eastAsia="仿宋_GB2312"/>
          <w:kern w:val="0"/>
          <w:sz w:val="32"/>
          <w:szCs w:val="24"/>
        </w:rPr>
      </w:pPr>
      <w:bookmarkStart w:id="6" w:name="_Toc20621"/>
      <w:r>
        <w:rPr>
          <w:rFonts w:hint="eastAsia" w:ascii="仿宋_GB2312" w:hAnsi="仿宋" w:eastAsia="仿宋_GB2312"/>
          <w:kern w:val="0"/>
          <w:sz w:val="32"/>
          <w:szCs w:val="24"/>
        </w:rPr>
        <w:t>（七）已获得本年度财政经费资助内容。</w:t>
      </w:r>
    </w:p>
    <w:p w14:paraId="2780BFA7">
      <w:pPr>
        <w:spacing w:beforeLines="0" w:afterLines="0" w:line="560" w:lineRule="exact"/>
        <w:ind w:firstLine="600"/>
        <w:outlineLvl w:val="0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仿宋_GB2312" w:eastAsia="仿宋_GB2312"/>
          <w:kern w:val="0"/>
          <w:sz w:val="32"/>
          <w:szCs w:val="24"/>
        </w:rPr>
        <w:t>（八）与</w:t>
      </w:r>
      <w:r>
        <w:rPr>
          <w:rFonts w:hint="eastAsia" w:ascii="仿宋_GB2312" w:hAnsi="仿宋_GB2312" w:eastAsia="仿宋_GB2312"/>
          <w:kern w:val="0"/>
          <w:sz w:val="32"/>
          <w:szCs w:val="24"/>
          <w:lang w:eastAsia="zh-CN"/>
        </w:rPr>
        <w:t>科幻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活动无关的其他支出。</w:t>
      </w:r>
      <w:bookmarkEnd w:id="6"/>
    </w:p>
    <w:p w14:paraId="759EA2A7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>第</w:t>
      </w:r>
      <w:r>
        <w:rPr>
          <w:rFonts w:hint="eastAsia" w:ascii="黑体" w:hAnsi="黑体" w:eastAsia="黑体"/>
          <w:kern w:val="0"/>
          <w:sz w:val="32"/>
          <w:szCs w:val="24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24"/>
        </w:rPr>
        <w:t xml:space="preserve">条  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项目资金预算的申报审核程序按照《</w:t>
      </w:r>
      <w:r>
        <w:rPr>
          <w:rFonts w:hint="eastAsia" w:ascii="仿宋_GB2312" w:hAnsi="仿宋_GB2312" w:eastAsia="仿宋_GB2312"/>
          <w:kern w:val="0"/>
          <w:sz w:val="32"/>
          <w:szCs w:val="24"/>
          <w:lang w:eastAsia="zh-CN"/>
        </w:rPr>
        <w:t>北京科幻专项行动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实施方案》规定的组织实施程序执行。</w:t>
      </w:r>
    </w:p>
    <w:p w14:paraId="46F9259E">
      <w:pPr>
        <w:spacing w:beforeLines="0" w:afterLines="0"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>第</w:t>
      </w:r>
      <w:r>
        <w:rPr>
          <w:rFonts w:hint="eastAsia" w:ascii="黑体" w:hAnsi="黑体" w:eastAsia="黑体"/>
          <w:kern w:val="0"/>
          <w:sz w:val="32"/>
          <w:szCs w:val="24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24"/>
        </w:rPr>
        <w:t xml:space="preserve">条  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获得资金资助的单位，可以在资金中列支获资助后年度内发生的费用，且获资助经费在年度内执行完毕。如有结余，北京市科协将收回结余经费。</w:t>
      </w:r>
    </w:p>
    <w:p w14:paraId="3C814215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>第</w:t>
      </w:r>
      <w:r>
        <w:rPr>
          <w:rFonts w:hint="eastAsia" w:ascii="黑体" w:hAnsi="黑体" w:eastAsia="黑体"/>
          <w:kern w:val="0"/>
          <w:sz w:val="32"/>
          <w:szCs w:val="24"/>
          <w:lang w:eastAsia="zh-CN"/>
        </w:rPr>
        <w:t>九</w:t>
      </w:r>
      <w:r>
        <w:rPr>
          <w:rFonts w:hint="eastAsia" w:ascii="黑体" w:hAnsi="黑体" w:eastAsia="黑体"/>
          <w:kern w:val="0"/>
          <w:sz w:val="32"/>
          <w:szCs w:val="24"/>
        </w:rPr>
        <w:t xml:space="preserve">条  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获得资金资助的单位应当严格按照项目预算执行，不得自行调整。执行过程中确因实施条件与项目申报时发生重大变化需调整的，应当向北京市科协申请预算调整。</w:t>
      </w:r>
    </w:p>
    <w:p w14:paraId="68590842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>第</w:t>
      </w:r>
      <w:r>
        <w:rPr>
          <w:rFonts w:hint="eastAsia" w:ascii="黑体" w:hAnsi="黑体" w:eastAsia="黑体"/>
          <w:kern w:val="0"/>
          <w:sz w:val="32"/>
          <w:szCs w:val="24"/>
          <w:lang w:eastAsia="zh-CN"/>
        </w:rPr>
        <w:t>十</w:t>
      </w:r>
      <w:r>
        <w:rPr>
          <w:rFonts w:hint="eastAsia" w:ascii="黑体" w:hAnsi="黑体" w:eastAsia="黑体"/>
          <w:kern w:val="0"/>
          <w:sz w:val="32"/>
          <w:szCs w:val="24"/>
        </w:rPr>
        <w:t xml:space="preserve">条  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北京市科协对资金使用情况进行检查和监督，于年底前组织专家对项目绩效完成情况进行检查验收。</w:t>
      </w:r>
    </w:p>
    <w:p w14:paraId="0D1371B3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>第十</w:t>
      </w:r>
      <w:r>
        <w:rPr>
          <w:rFonts w:hint="eastAsia" w:ascii="黑体" w:hAnsi="黑体" w:eastAsia="黑体"/>
          <w:kern w:val="0"/>
          <w:sz w:val="32"/>
          <w:szCs w:val="24"/>
          <w:lang w:eastAsia="zh-CN"/>
        </w:rPr>
        <w:t>一</w:t>
      </w:r>
      <w:r>
        <w:rPr>
          <w:rFonts w:hint="eastAsia" w:ascii="黑体" w:hAnsi="黑体" w:eastAsia="黑体"/>
          <w:kern w:val="0"/>
          <w:sz w:val="32"/>
          <w:szCs w:val="24"/>
        </w:rPr>
        <w:t xml:space="preserve">条  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有下列行为之一的，北京市科协将追回其相应资金,在后续三年内取消其申报资格，并依据《财政违法行为处罚处分条例》的规定提请有关部门进行处理。对于其他违法违规行为，由有关部门按照相关法律法规进行处理处分。</w:t>
      </w:r>
    </w:p>
    <w:p w14:paraId="0180C5DA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/>
          <w:kern w:val="0"/>
          <w:sz w:val="32"/>
          <w:szCs w:val="24"/>
        </w:rPr>
        <w:t>（一）提供虚假财务会计信息，虚列支出。</w:t>
      </w:r>
    </w:p>
    <w:p w14:paraId="56144D5B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/>
          <w:kern w:val="0"/>
          <w:sz w:val="32"/>
          <w:szCs w:val="24"/>
        </w:rPr>
        <w:t>（二）截留、挤占、挪用资金。</w:t>
      </w:r>
    </w:p>
    <w:p w14:paraId="0752E6F8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/>
          <w:kern w:val="0"/>
          <w:sz w:val="32"/>
          <w:szCs w:val="24"/>
        </w:rPr>
        <w:t>（三）未对项目经费进行单独核算。</w:t>
      </w:r>
    </w:p>
    <w:p w14:paraId="26BD0648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/>
          <w:kern w:val="0"/>
          <w:sz w:val="32"/>
          <w:szCs w:val="24"/>
        </w:rPr>
        <w:t>（四）失职致使计划无法实施，造成不良影响。</w:t>
      </w:r>
    </w:p>
    <w:p w14:paraId="36CDBE20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/>
          <w:kern w:val="0"/>
          <w:sz w:val="32"/>
          <w:szCs w:val="24"/>
        </w:rPr>
        <w:t>（五）无正当理由经费不能及时支付到用款单位和个人。</w:t>
      </w:r>
    </w:p>
    <w:p w14:paraId="53A52E8D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/>
          <w:kern w:val="0"/>
          <w:sz w:val="32"/>
          <w:szCs w:val="24"/>
        </w:rPr>
        <w:t>（</w:t>
      </w:r>
      <w:r>
        <w:rPr>
          <w:rFonts w:hint="eastAsia" w:ascii="仿宋_GB2312" w:hAnsi="仿宋_GB2312" w:eastAsia="仿宋_GB2312"/>
          <w:kern w:val="0"/>
          <w:sz w:val="32"/>
          <w:szCs w:val="24"/>
          <w:lang w:eastAsia="zh-CN"/>
        </w:rPr>
        <w:t>六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）擅自变更项目承担主体，未获北京市科协批准。</w:t>
      </w:r>
    </w:p>
    <w:p w14:paraId="5F1614D3">
      <w:pPr>
        <w:spacing w:beforeLines="0" w:afterLines="0"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/>
          <w:kern w:val="0"/>
          <w:sz w:val="32"/>
          <w:szCs w:val="24"/>
        </w:rPr>
        <w:t>（</w:t>
      </w:r>
      <w:r>
        <w:rPr>
          <w:rFonts w:hint="eastAsia" w:ascii="仿宋_GB2312" w:hAnsi="仿宋_GB2312" w:eastAsia="仿宋_GB2312"/>
          <w:kern w:val="0"/>
          <w:sz w:val="32"/>
          <w:szCs w:val="24"/>
          <w:lang w:eastAsia="zh-CN"/>
        </w:rPr>
        <w:t>七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）其他违反国家有关法律、法规的行为。</w:t>
      </w:r>
    </w:p>
    <w:p w14:paraId="54F636EA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>第十</w:t>
      </w:r>
      <w:r>
        <w:rPr>
          <w:rFonts w:hint="eastAsia" w:ascii="黑体" w:hAnsi="黑体" w:eastAsia="黑体"/>
          <w:kern w:val="0"/>
          <w:sz w:val="32"/>
          <w:szCs w:val="24"/>
          <w:lang w:eastAsia="zh-CN"/>
        </w:rPr>
        <w:t>二</w:t>
      </w:r>
      <w:r>
        <w:rPr>
          <w:rFonts w:hint="eastAsia" w:ascii="黑体" w:hAnsi="黑体" w:eastAsia="黑体"/>
          <w:kern w:val="0"/>
          <w:sz w:val="32"/>
          <w:szCs w:val="24"/>
        </w:rPr>
        <w:t xml:space="preserve">条  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本办法由北京市科协负责解释。</w:t>
      </w:r>
    </w:p>
    <w:p w14:paraId="4BB643BE">
      <w:pPr>
        <w:spacing w:beforeLines="0" w:afterLines="0"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>第十</w:t>
      </w:r>
      <w:r>
        <w:rPr>
          <w:rFonts w:hint="eastAsia" w:ascii="黑体" w:hAnsi="黑体" w:eastAsia="黑体"/>
          <w:kern w:val="0"/>
          <w:sz w:val="32"/>
          <w:szCs w:val="24"/>
          <w:lang w:eastAsia="zh-CN"/>
        </w:rPr>
        <w:t>三</w:t>
      </w:r>
      <w:r>
        <w:rPr>
          <w:rFonts w:hint="eastAsia" w:ascii="黑体" w:hAnsi="黑体" w:eastAsia="黑体"/>
          <w:kern w:val="0"/>
          <w:sz w:val="32"/>
          <w:szCs w:val="24"/>
        </w:rPr>
        <w:t xml:space="preserve">条  </w:t>
      </w:r>
      <w:r>
        <w:rPr>
          <w:rFonts w:hint="eastAsia" w:ascii="仿宋_GB2312" w:hAnsi="仿宋_GB2312" w:eastAsia="仿宋_GB2312"/>
          <w:kern w:val="0"/>
          <w:sz w:val="32"/>
          <w:szCs w:val="24"/>
        </w:rPr>
        <w:t>本办法自发布之日起施行。</w:t>
      </w:r>
    </w:p>
    <w:p w14:paraId="4FACC974">
      <w:pPr>
        <w:widowControl/>
        <w:spacing w:beforeLines="0" w:afterLines="0"/>
        <w:jc w:val="left"/>
        <w:rPr>
          <w:rFonts w:hint="eastAsia" w:ascii="仿宋_GB2312" w:hAnsi="宋体" w:eastAsia="仿宋_GB2312"/>
          <w:color w:val="000000"/>
          <w:sz w:val="32"/>
          <w:szCs w:val="24"/>
        </w:rPr>
      </w:pPr>
    </w:p>
    <w:p w14:paraId="267408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1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ascii="Calibri" w:hAnsi="Calibri" w:eastAsia="方正小标宋简体" w:cs="Times New Roman"/>
      <w:b/>
      <w:color w:val="auto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0" w:afterLines="0" w:line="360" w:lineRule="auto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2026-02-02T14:01:01Z</dcterms:created>
  <dc:creator>pc</dc:creator>
  <cp:lastModifiedBy>罗中云</cp:lastModifiedBy>
  <dcterms:modified xsi:type="dcterms:W3CDTF">2026-02-02T14:01:47Z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eyJoZGlkIjoiMzE5MjhiMDEyM2UxMDgzYWMxY2Q4OGUzOGFmMDQ0YTIiLCJ1c2VySWQiOiIxMDg4MTMwODU5In0=</vt:lpwstr>
  </property>
  <property fmtid="{D5CDD505-2E9C-101B-9397-08002B2CF9AE}" pid="4" name="ICV">
    <vt:lpwstr>08055157DBC748F09D868CC472C27F2E_12</vt:lpwstr>
  </property>
</Properties>
</file>