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109E4">
      <w:pPr>
        <w:spacing w:line="580" w:lineRule="exact"/>
        <w:rPr>
          <w:rFonts w:hint="eastAsia" w:ascii="黑体" w:hAnsi="黑体" w:eastAsia="黑体"/>
          <w:sz w:val="32"/>
          <w:szCs w:val="32"/>
        </w:rPr>
      </w:pPr>
      <w:r>
        <w:rPr>
          <w:rFonts w:hint="eastAsia" w:ascii="黑体" w:hAnsi="黑体" w:eastAsia="黑体"/>
          <w:sz w:val="32"/>
          <w:szCs w:val="32"/>
        </w:rPr>
        <w:t>附件</w:t>
      </w:r>
    </w:p>
    <w:p w14:paraId="40E6F5F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小标宋" w:hAnsi="仿宋" w:eastAsia="小标宋" w:cs="宋体"/>
          <w:sz w:val="44"/>
          <w:szCs w:val="44"/>
          <w:highlight w:val="none"/>
          <w:lang w:val="zh-CN"/>
        </w:rPr>
      </w:pPr>
      <w:r>
        <w:rPr>
          <w:rFonts w:hint="eastAsia" w:ascii="小标宋" w:hAnsi="仿宋" w:eastAsia="小标宋" w:cs="宋体"/>
          <w:sz w:val="44"/>
          <w:szCs w:val="44"/>
          <w:highlight w:val="none"/>
          <w:lang w:val="zh-CN" w:eastAsia="zh-CN"/>
        </w:rPr>
        <w:t>第十三届</w:t>
      </w:r>
      <w:r>
        <w:rPr>
          <w:rFonts w:hint="eastAsia" w:ascii="小标宋" w:hAnsi="仿宋" w:eastAsia="小标宋" w:cs="宋体"/>
          <w:sz w:val="44"/>
          <w:szCs w:val="44"/>
          <w:highlight w:val="none"/>
          <w:lang w:val="zh-CN"/>
        </w:rPr>
        <w:t>中国金属学会青年学术年会</w:t>
      </w:r>
    </w:p>
    <w:p w14:paraId="3CE21ECD">
      <w:pPr>
        <w:keepNext w:val="0"/>
        <w:keepLines w:val="0"/>
        <w:pageBreakBefore w:val="0"/>
        <w:widowControl w:val="0"/>
        <w:kinsoku/>
        <w:wordWrap/>
        <w:overflowPunct/>
        <w:topLinePunct w:val="0"/>
        <w:autoSpaceDE/>
        <w:autoSpaceDN/>
        <w:bidi w:val="0"/>
        <w:adjustRightInd/>
        <w:snapToGrid/>
        <w:spacing w:after="290" w:afterLines="100" w:line="700" w:lineRule="exact"/>
        <w:jc w:val="center"/>
        <w:textAlignment w:val="auto"/>
        <w:rPr>
          <w:rFonts w:hint="eastAsia" w:ascii="小标宋" w:hAnsi="仿宋" w:eastAsia="小标宋" w:cs="宋体"/>
          <w:sz w:val="44"/>
          <w:szCs w:val="44"/>
          <w:highlight w:val="none"/>
          <w:lang w:val="zh-CN" w:eastAsia="zh-CN"/>
        </w:rPr>
      </w:pPr>
      <w:r>
        <w:rPr>
          <w:rFonts w:hint="eastAsia" w:ascii="小标宋" w:hAnsi="仿宋" w:eastAsia="小标宋" w:cs="宋体"/>
          <w:sz w:val="44"/>
          <w:szCs w:val="44"/>
          <w:highlight w:val="none"/>
          <w:lang w:val="zh-CN" w:eastAsia="zh-CN"/>
        </w:rPr>
        <w:t>长摘要模板</w:t>
      </w:r>
    </w:p>
    <w:p w14:paraId="5A8A4A18">
      <w:pPr>
        <w:widowControl/>
        <w:spacing w:line="300" w:lineRule="auto"/>
        <w:jc w:val="center"/>
        <w:rPr>
          <w:rFonts w:ascii="黑体" w:hAnsi="黑体" w:eastAsia="黑体" w:cs="Times New Roman"/>
          <w:bCs/>
          <w:spacing w:val="10"/>
          <w:kern w:val="0"/>
          <w:sz w:val="32"/>
          <w:szCs w:val="32"/>
        </w:rPr>
      </w:pPr>
      <w:r>
        <w:rPr>
          <w:rFonts w:ascii="黑体" w:hAnsi="黑体" w:eastAsia="黑体" w:cs="Times New Roman"/>
          <w:bCs/>
          <w:spacing w:val="10"/>
          <w:kern w:val="0"/>
          <w:sz w:val="32"/>
          <w:szCs w:val="32"/>
        </w:rPr>
        <w:t>论文题目</w:t>
      </w:r>
    </w:p>
    <w:p w14:paraId="276F5451">
      <w:pPr>
        <w:widowControl/>
        <w:spacing w:line="300" w:lineRule="auto"/>
        <w:jc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kern w:val="0"/>
          <w:sz w:val="24"/>
          <w:szCs w:val="24"/>
        </w:rPr>
        <w:t>作者1</w:t>
      </w:r>
      <w:r>
        <w:rPr>
          <w:rFonts w:hint="default" w:ascii="Times New Roman" w:hAnsi="Times New Roman" w:eastAsia="楷体_GB2312" w:cs="Times New Roman"/>
          <w:kern w:val="0"/>
          <w:sz w:val="24"/>
          <w:szCs w:val="24"/>
          <w:vertAlign w:val="superscript"/>
          <w:lang w:val="en-US" w:eastAsia="zh-CN"/>
        </w:rPr>
        <w:t>1</w:t>
      </w:r>
      <w:r>
        <w:rPr>
          <w:rFonts w:hint="default" w:ascii="Times New Roman" w:hAnsi="Times New Roman" w:eastAsia="楷体_GB2312" w:cs="Times New Roman"/>
          <w:kern w:val="0"/>
          <w:sz w:val="24"/>
          <w:szCs w:val="24"/>
        </w:rPr>
        <w:t>，作者2</w:t>
      </w:r>
      <w:r>
        <w:rPr>
          <w:rFonts w:hint="default" w:ascii="Times New Roman" w:hAnsi="Times New Roman" w:eastAsia="楷体_GB2312" w:cs="Times New Roman"/>
          <w:kern w:val="0"/>
          <w:sz w:val="24"/>
          <w:szCs w:val="24"/>
          <w:vertAlign w:val="superscript"/>
          <w:lang w:val="en-US" w:eastAsia="zh-CN"/>
        </w:rPr>
        <w:t>1*</w:t>
      </w:r>
      <w:r>
        <w:rPr>
          <w:rFonts w:hint="default" w:ascii="Times New Roman" w:hAnsi="Times New Roman" w:eastAsia="楷体_GB2312" w:cs="Times New Roman"/>
          <w:kern w:val="0"/>
          <w:sz w:val="24"/>
          <w:szCs w:val="24"/>
        </w:rPr>
        <w:t>，作者</w:t>
      </w:r>
      <w:r>
        <w:rPr>
          <w:rFonts w:hint="default" w:ascii="Times New Roman" w:hAnsi="Times New Roman" w:eastAsia="楷体_GB2312" w:cs="Times New Roman"/>
          <w:kern w:val="0"/>
          <w:sz w:val="24"/>
          <w:szCs w:val="24"/>
          <w:lang w:val="en-US" w:eastAsia="zh-CN"/>
        </w:rPr>
        <w:t>3</w:t>
      </w:r>
      <w:r>
        <w:rPr>
          <w:rFonts w:hint="default" w:ascii="Times New Roman" w:hAnsi="Times New Roman" w:eastAsia="楷体_GB2312" w:cs="Times New Roman"/>
          <w:kern w:val="0"/>
          <w:sz w:val="24"/>
          <w:szCs w:val="24"/>
          <w:vertAlign w:val="superscript"/>
          <w:lang w:val="en-US" w:eastAsia="zh-CN"/>
        </w:rPr>
        <w:t>1,2</w:t>
      </w:r>
      <w:r>
        <w:rPr>
          <w:rFonts w:hint="default" w:ascii="Times New Roman" w:hAnsi="Times New Roman" w:eastAsia="楷体_GB2312" w:cs="Times New Roman"/>
          <w:kern w:val="0"/>
          <w:sz w:val="24"/>
          <w:szCs w:val="24"/>
        </w:rPr>
        <w:t>……</w:t>
      </w:r>
    </w:p>
    <w:p w14:paraId="3C72E7B8">
      <w:pPr>
        <w:widowControl/>
        <w:spacing w:line="300" w:lineRule="auto"/>
        <w:jc w:val="center"/>
        <w:rPr>
          <w:rFonts w:hint="default" w:ascii="Times New Roman" w:hAnsi="Times New Roman" w:eastAsia="宋体" w:cs="Times New Roman"/>
          <w:kern w:val="0"/>
          <w:sz w:val="18"/>
          <w:szCs w:val="18"/>
          <w:lang w:eastAsia="zh-CN"/>
        </w:rPr>
      </w:pPr>
      <w:r>
        <w:rPr>
          <w:rFonts w:hint="default" w:ascii="Times New Roman" w:hAnsi="Times New Roman" w:eastAsia="宋体" w:cs="Times New Roman"/>
          <w:kern w:val="0"/>
          <w:sz w:val="18"/>
          <w:szCs w:val="18"/>
        </w:rPr>
        <w:t>（1．</w:t>
      </w:r>
      <w:r>
        <w:rPr>
          <w:rFonts w:hint="eastAsia" w:ascii="Times New Roman" w:hAnsi="Times New Roman" w:eastAsia="宋体" w:cs="Times New Roman"/>
          <w:kern w:val="0"/>
          <w:sz w:val="18"/>
          <w:szCs w:val="18"/>
          <w:lang w:val="en-US" w:eastAsia="zh-CN"/>
        </w:rPr>
        <w:t>XX</w:t>
      </w:r>
      <w:r>
        <w:rPr>
          <w:rFonts w:hint="default" w:ascii="Times New Roman" w:hAnsi="Times New Roman" w:eastAsia="宋体" w:cs="Times New Roman"/>
          <w:kern w:val="0"/>
          <w:sz w:val="18"/>
          <w:szCs w:val="18"/>
        </w:rPr>
        <w:t>有限公司，北京 100081；2．</w:t>
      </w:r>
      <w:r>
        <w:rPr>
          <w:rFonts w:hint="eastAsia" w:ascii="Times New Roman" w:hAnsi="Times New Roman" w:eastAsia="宋体" w:cs="Times New Roman"/>
          <w:kern w:val="0"/>
          <w:sz w:val="18"/>
          <w:szCs w:val="18"/>
          <w:lang w:val="en-US" w:eastAsia="zh-CN"/>
        </w:rPr>
        <w:t>XX</w:t>
      </w:r>
      <w:r>
        <w:rPr>
          <w:rFonts w:hint="default" w:ascii="Times New Roman" w:hAnsi="Times New Roman" w:eastAsia="宋体" w:cs="Times New Roman"/>
          <w:kern w:val="0"/>
          <w:sz w:val="18"/>
          <w:szCs w:val="18"/>
        </w:rPr>
        <w:t>股份有限公司，浙江湖州 313028</w:t>
      </w:r>
      <w:r>
        <w:rPr>
          <w:rFonts w:hint="default" w:ascii="Times New Roman" w:hAnsi="Times New Roman" w:eastAsia="宋体" w:cs="Times New Roman"/>
          <w:kern w:val="0"/>
          <w:sz w:val="18"/>
          <w:szCs w:val="18"/>
          <w:lang w:eastAsia="zh-CN"/>
        </w:rPr>
        <w:t>）</w:t>
      </w:r>
    </w:p>
    <w:p w14:paraId="66DB711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default" w:ascii="Times New Roman" w:hAnsi="Times New Roman" w:eastAsia="宋体" w:cs="Times New Roman"/>
          <w:kern w:val="0"/>
          <w:sz w:val="21"/>
          <w:szCs w:val="21"/>
        </w:rPr>
      </w:pPr>
    </w:p>
    <w:p w14:paraId="12A182A9">
      <w:pPr>
        <w:pStyle w:val="5"/>
        <w:keepNext w:val="0"/>
        <w:keepLines w:val="0"/>
        <w:pageBreakBefore w:val="0"/>
        <w:widowControl w:val="0"/>
        <w:kinsoku/>
        <w:wordWrap/>
        <w:overflowPunct/>
        <w:topLinePunct w:val="0"/>
        <w:autoSpaceDE/>
        <w:autoSpaceDN/>
        <w:bidi w:val="0"/>
        <w:adjustRightInd w:val="0"/>
        <w:snapToGrid/>
        <w:ind w:left="0" w:leftChars="0" w:right="0" w:rightChars="0" w:firstLine="361" w:firstLineChars="200"/>
        <w:textAlignment w:val="auto"/>
        <w:rPr>
          <w:rFonts w:hint="default" w:ascii="Times New Roman" w:hAnsi="Times New Roman" w:eastAsia="宋体" w:cs="Times New Roman"/>
        </w:rPr>
      </w:pPr>
      <w:r>
        <w:rPr>
          <w:rFonts w:hint="default" w:ascii="Times New Roman" w:hAnsi="Times New Roman" w:eastAsia="宋体" w:cs="Times New Roman"/>
          <w:b/>
        </w:rPr>
        <w:t>摘  要</w:t>
      </w:r>
      <w:r>
        <w:rPr>
          <w:rFonts w:hint="default" w:ascii="Times New Roman" w:hAnsi="Times New Roman" w:eastAsia="宋体" w:cs="Times New Roman"/>
        </w:rPr>
        <w:t>：双相不锈钢兼具奥氏体不锈钢的优异耐点蚀性能与铁素体不锈钢的较高强度和耐氯化物应力腐蚀性能，在石油石化、海洋工程、核电、船舶等领域有广泛应用。近年来双相不锈钢产品进一步向低温环境拓展应用，但国内双相不锈钢产品普遍存在冲击韧性低的问题。目前不锈钢断裂机理研究多针对奥氏体钢或铁素体钢，需要完善和发展多相组织耦合下的双相不锈钢低温冲击韧性研究。</w:t>
      </w:r>
    </w:p>
    <w:p w14:paraId="2AEF6CE5">
      <w:pPr>
        <w:pStyle w:val="5"/>
        <w:keepNext w:val="0"/>
        <w:keepLines w:val="0"/>
        <w:pageBreakBefore w:val="0"/>
        <w:widowControl w:val="0"/>
        <w:kinsoku/>
        <w:wordWrap/>
        <w:overflowPunct/>
        <w:topLinePunct w:val="0"/>
        <w:autoSpaceDE/>
        <w:autoSpaceDN/>
        <w:bidi w:val="0"/>
        <w:adjustRightInd w:val="0"/>
        <w:snapToGrid/>
        <w:ind w:left="0" w:leftChars="0" w:right="0" w:rightChars="0" w:firstLine="360" w:firstLineChars="200"/>
        <w:textAlignment w:val="auto"/>
        <w:rPr>
          <w:rFonts w:hint="default" w:ascii="Times New Roman" w:hAnsi="Times New Roman" w:eastAsia="宋体" w:cs="Times New Roman"/>
        </w:rPr>
      </w:pPr>
      <w:r>
        <w:rPr>
          <w:rFonts w:hint="default" w:ascii="Times New Roman" w:hAnsi="Times New Roman" w:eastAsia="宋体" w:cs="Times New Roman"/>
        </w:rPr>
        <w:t>笔者及其团队近年来以UNS S32750双相不锈钢为载体，系统研究了基体两相比例（Phase ratio）、相形态（Phase morphology）、晶粒长径比（Aspect ratio）、第二相析出等材料学因素对双相不锈钢低温断裂行为的影响，分析了作用机制。主要研究结果有：（1）固溶态S32750双相不锈钢在室温下具有高的冲击韧性，过高的铁素体相比例和粗化的铁素体晶粒损害试验钢冲击韧性：α相含量从50%增加到60%，对应室温冲击功值从236J单调递减至144J，主要体现在裂纹扩展功的下降。（2）γ相形态由层片状向球状转变、γ相大长径比晶粒比例从55%降至15%，可有效提高试验钢冲击韧性、降低韧脆转变温度，并改善冲击韧性各向异性，提高横向冲击功。（3）试验钢在900℃时具有非常快的第二相析出速度，并倾向于在高界面能的α/γ相界和三叉晶界处发生粗化；1%含量的σ相即可严重恶化试验钢的低温冲击韧性，韧脆转变温度上升可达65℃；Cr</w:t>
      </w:r>
      <w:r>
        <w:rPr>
          <w:rFonts w:hint="default" w:ascii="Times New Roman" w:hAnsi="Times New Roman" w:eastAsia="宋体" w:cs="Times New Roman"/>
          <w:vertAlign w:val="subscript"/>
        </w:rPr>
        <w:t>2</w:t>
      </w:r>
      <w:r>
        <w:rPr>
          <w:rFonts w:hint="default" w:ascii="Times New Roman" w:hAnsi="Times New Roman" w:eastAsia="宋体" w:cs="Times New Roman"/>
        </w:rPr>
        <w:t>N相对试验钢冲击韧性的恶化作用弱于σ相。（4）试验钢在20℃~-100℃范围内的冲击功值随测试温度降低呈S形下降，两者符合以下Boltzmann关系：KV=211.1+(-186.8)/(1+e^((T-(-39.9))/11.4))。（5）测试温度从US区降至DBT和LS区，试验钢冲击功能量构成呈“高裂纹扩展功+高裂纹萌生功”→“中低裂纹扩展功+高裂纹萌生功”→“低裂纹扩展功+低裂纹萌生功”变化。（6）在DBT温度区冲断后，试验钢出现同时穿越铁素体和奥氏体的解理断面，铁素体相多呈河流状解理形貌，奥氏体相呈“解理小平面+起源于γ晶界处和α/γ相界处的撕裂棱”的准解理形貌。</w:t>
      </w:r>
    </w:p>
    <w:p w14:paraId="69699A38">
      <w:pPr>
        <w:pStyle w:val="5"/>
        <w:ind w:left="0" w:leftChars="0" w:right="0" w:rightChars="0" w:firstLine="360" w:firstLineChars="200"/>
        <w:rPr>
          <w:rFonts w:hint="default" w:ascii="Times New Roman" w:hAnsi="Times New Roman" w:eastAsia="宋体" w:cs="Times New Roman"/>
        </w:rPr>
      </w:pPr>
      <w:r>
        <w:rPr>
          <w:rFonts w:hint="default" w:ascii="Times New Roman" w:hAnsi="Times New Roman" w:eastAsia="宋体" w:cs="Times New Roman"/>
        </w:rPr>
        <w:t>基于以上研究结果，结合我国双相不锈钢生产工艺路线，开发了“双相不锈钢两相双细化工艺技术”、“双相不锈钢中有害相的消除方法”、“控相形态热加工工艺方法”等系列自主知识产权技术，在久立特材、永兴特材、太钢不锈、宝武特冶、武进不锈等重要棒、管、板生产企业得到应用，成功开发出高冲击韧性的UNS S31803、S32205、S32750、S32760产品，工业生产的S32750双相不锈钢管材-46℃低温冲击韧性提升60%以上，冲击功值稳定达到100J以上。结合冲击韧性提升技术的发展，引导双相不锈钢材料组织调控手段从“相比例”向“相比例+相形态+晶粒尺寸”转变，推动了高质量双相不锈钢产品的国产化和竞争力提升，助力我国高等级双相不锈钢无缝管市占率从不足10%提高到75%以上，产生了显著的经济效益和社会价值。</w:t>
      </w:r>
    </w:p>
    <w:p w14:paraId="7BCF9080">
      <w:pPr>
        <w:pStyle w:val="6"/>
        <w:keepNext w:val="0"/>
        <w:keepLines w:val="0"/>
        <w:pageBreakBefore w:val="0"/>
        <w:widowControl w:val="0"/>
        <w:kinsoku/>
        <w:wordWrap/>
        <w:overflowPunct/>
        <w:topLinePunct w:val="0"/>
        <w:autoSpaceDE/>
        <w:autoSpaceDN/>
        <w:bidi w:val="0"/>
        <w:adjustRightInd w:val="0"/>
        <w:snapToGrid/>
        <w:spacing w:after="357"/>
        <w:ind w:left="0" w:leftChars="0" w:right="0" w:rightChars="0" w:firstLine="361"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b/>
          <w:highlight w:val="none"/>
        </w:rPr>
        <w:t>关键词</w:t>
      </w:r>
      <w:r>
        <w:rPr>
          <w:rFonts w:hint="default" w:ascii="Times New Roman" w:hAnsi="Times New Roman" w:eastAsia="宋体" w:cs="Times New Roman"/>
          <w:highlight w:val="none"/>
        </w:rPr>
        <w:t>：</w:t>
      </w:r>
      <w:bookmarkStart w:id="0" w:name="_Hlk144125310"/>
      <w:r>
        <w:rPr>
          <w:rFonts w:hint="default" w:ascii="Times New Roman" w:hAnsi="Times New Roman" w:eastAsia="宋体" w:cs="Times New Roman"/>
          <w:highlight w:val="none"/>
        </w:rPr>
        <w:t>双相不锈钢；冲击韧性；相比例；相形态；工艺技术</w:t>
      </w:r>
      <w:bookmarkEnd w:id="0"/>
    </w:p>
    <w:p w14:paraId="309A9BBE">
      <w:pPr>
        <w:pStyle w:val="6"/>
        <w:spacing w:after="357"/>
        <w:ind w:left="0" w:leftChars="0" w:right="0" w:rightChars="0"/>
        <w:rPr>
          <w:rFonts w:hint="eastAsia" w:ascii="仿宋_GB2312" w:hAnsi="仿宋_GB2312" w:eastAsia="仿宋_GB2312" w:cs="仿宋_GB2312"/>
          <w:kern w:val="0"/>
          <w:sz w:val="32"/>
          <w:szCs w:val="32"/>
        </w:rPr>
      </w:pPr>
      <w:r>
        <w:rPr>
          <w:rFonts w:hint="default" w:ascii="Times New Roman" w:hAnsi="Times New Roman" w:eastAsia="宋体" w:cs="Times New Roman"/>
          <w:b/>
          <w:bCs/>
          <w:color w:val="auto"/>
          <w:lang w:val="en-US" w:eastAsia="zh-CN"/>
        </w:rPr>
        <w:t>相关格式（页面、版心、字体、字号等）已在本文中进行了定义，只需修改内容即可。</w:t>
      </w:r>
      <w:r>
        <w:rPr>
          <w:rFonts w:eastAsia="宋体"/>
        </w:rPr>
        <w:br w:type="page"/>
      </w:r>
      <w:r>
        <w:rPr>
          <w:rFonts w:hint="eastAsia" w:ascii="仿宋_GB2312" w:hAnsi="仿宋_GB2312" w:eastAsia="仿宋_GB2312" w:cs="仿宋_GB2312"/>
          <w:b/>
          <w:bCs/>
          <w:kern w:val="0"/>
          <w:sz w:val="32"/>
          <w:szCs w:val="32"/>
        </w:rPr>
        <w:t>排版要求：</w:t>
      </w:r>
    </w:p>
    <w:p w14:paraId="26DC3D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论文篇幅：一页（不超过1000字）。</w:t>
      </w:r>
    </w:p>
    <w:p w14:paraId="03D2EC5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页面：A4标准（宽</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210mm，长</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297mm）。</w:t>
      </w:r>
    </w:p>
    <w:p w14:paraId="3973700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论文题目：三号黑体，居中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1.25</w:t>
      </w:r>
      <w:r>
        <w:rPr>
          <w:rFonts w:hint="eastAsia" w:ascii="仿宋_GB2312" w:hAnsi="仿宋_GB2312" w:eastAsia="仿宋_GB2312" w:cs="仿宋_GB2312"/>
          <w:kern w:val="0"/>
          <w:sz w:val="32"/>
          <w:szCs w:val="32"/>
        </w:rPr>
        <w:t>倍行距</w:t>
      </w:r>
      <w:r>
        <w:rPr>
          <w:rFonts w:hint="eastAsia" w:ascii="仿宋_GB2312" w:hAnsi="仿宋_GB2312" w:eastAsia="仿宋_GB2312" w:cs="仿宋_GB2312"/>
          <w:kern w:val="0"/>
          <w:sz w:val="32"/>
          <w:szCs w:val="32"/>
          <w:lang w:eastAsia="zh-CN"/>
        </w:rPr>
        <w:t>。</w:t>
      </w:r>
    </w:p>
    <w:p w14:paraId="77B950B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作者名：小四号楷体，居中</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1.25</w:t>
      </w:r>
      <w:r>
        <w:rPr>
          <w:rFonts w:hint="eastAsia" w:ascii="仿宋_GB2312" w:hAnsi="仿宋_GB2312" w:eastAsia="仿宋_GB2312" w:cs="仿宋_GB2312"/>
          <w:kern w:val="0"/>
          <w:sz w:val="32"/>
          <w:szCs w:val="32"/>
        </w:rPr>
        <w:t>倍行距。</w:t>
      </w:r>
    </w:p>
    <w:p w14:paraId="41CABD2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单位名、城市名、邮编：小五号宋体，居中，</w:t>
      </w:r>
      <w:r>
        <w:rPr>
          <w:rFonts w:hint="eastAsia" w:ascii="仿宋_GB2312" w:hAnsi="仿宋_GB2312" w:eastAsia="仿宋_GB2312" w:cs="仿宋_GB2312"/>
          <w:kern w:val="0"/>
          <w:sz w:val="32"/>
          <w:szCs w:val="32"/>
          <w:lang w:val="en-US" w:eastAsia="zh-CN"/>
        </w:rPr>
        <w:t>1.25</w:t>
      </w:r>
      <w:r>
        <w:rPr>
          <w:rFonts w:hint="eastAsia" w:ascii="仿宋_GB2312" w:hAnsi="仿宋_GB2312" w:eastAsia="仿宋_GB2312" w:cs="仿宋_GB2312"/>
          <w:kern w:val="0"/>
          <w:sz w:val="32"/>
          <w:szCs w:val="32"/>
        </w:rPr>
        <w:t>倍行距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下空一行。</w:t>
      </w:r>
    </w:p>
    <w:p w14:paraId="734A4FD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摘要正文：</w:t>
      </w:r>
      <w:r>
        <w:rPr>
          <w:rFonts w:hint="eastAsia" w:ascii="仿宋_GB2312" w:hAnsi="仿宋_GB2312" w:eastAsia="仿宋_GB2312" w:cs="仿宋_GB2312"/>
          <w:kern w:val="0"/>
          <w:sz w:val="32"/>
          <w:szCs w:val="32"/>
          <w:highlight w:val="none"/>
          <w:lang w:val="en-US" w:eastAsia="zh-CN"/>
        </w:rPr>
        <w:t>小</w:t>
      </w:r>
      <w:r>
        <w:rPr>
          <w:rFonts w:hint="eastAsia" w:ascii="仿宋_GB2312" w:hAnsi="仿宋_GB2312" w:eastAsia="仿宋_GB2312" w:cs="仿宋_GB2312"/>
          <w:kern w:val="0"/>
          <w:sz w:val="32"/>
          <w:szCs w:val="32"/>
          <w:highlight w:val="none"/>
        </w:rPr>
        <w:t>五号宋体</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单</w:t>
      </w:r>
      <w:r>
        <w:rPr>
          <w:rFonts w:hint="eastAsia" w:ascii="仿宋_GB2312" w:hAnsi="仿宋_GB2312" w:eastAsia="仿宋_GB2312" w:cs="仿宋_GB2312"/>
          <w:kern w:val="0"/>
          <w:sz w:val="32"/>
          <w:szCs w:val="32"/>
          <w:highlight w:val="none"/>
        </w:rPr>
        <w:t>倍行距</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首行缩进2字符</w:t>
      </w:r>
      <w:r>
        <w:rPr>
          <w:rFonts w:hint="eastAsia" w:ascii="仿宋_GB2312" w:hAnsi="仿宋_GB2312" w:eastAsia="仿宋_GB2312" w:cs="仿宋_GB2312"/>
          <w:kern w:val="0"/>
          <w:sz w:val="32"/>
          <w:szCs w:val="32"/>
          <w:highlight w:val="none"/>
        </w:rPr>
        <w:t>。</w:t>
      </w:r>
    </w:p>
    <w:p w14:paraId="7C9415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关键词：小</w:t>
      </w:r>
      <w:r>
        <w:rPr>
          <w:rFonts w:hint="eastAsia" w:ascii="仿宋_GB2312" w:hAnsi="仿宋_GB2312" w:eastAsia="仿宋_GB2312" w:cs="仿宋_GB2312"/>
          <w:kern w:val="0"/>
          <w:sz w:val="32"/>
          <w:szCs w:val="32"/>
          <w:highlight w:val="none"/>
        </w:rPr>
        <w:t>五号宋体</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数量2-</w:t>
      </w:r>
      <w:r>
        <w:rPr>
          <w:rFonts w:hint="eastAsia" w:ascii="仿宋_GB2312" w:hAnsi="仿宋_GB2312" w:eastAsia="仿宋_GB2312" w:cs="仿宋_GB2312"/>
          <w:kern w:val="0"/>
          <w:sz w:val="32"/>
          <w:szCs w:val="32"/>
          <w:highlight w:val="none"/>
          <w:lang w:eastAsia="zh-CN"/>
        </w:rPr>
        <w:t>5</w:t>
      </w:r>
      <w:r>
        <w:rPr>
          <w:rFonts w:hint="eastAsia" w:ascii="仿宋_GB2312" w:hAnsi="仿宋_GB2312" w:eastAsia="仿宋_GB2312" w:cs="仿宋_GB2312"/>
          <w:kern w:val="0"/>
          <w:sz w:val="32"/>
          <w:szCs w:val="32"/>
          <w:highlight w:val="none"/>
          <w:lang w:val="en-US" w:eastAsia="zh-CN"/>
        </w:rPr>
        <w:t>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单</w:t>
      </w:r>
      <w:r>
        <w:rPr>
          <w:rFonts w:hint="eastAsia" w:ascii="仿宋_GB2312" w:hAnsi="仿宋_GB2312" w:eastAsia="仿宋_GB2312" w:cs="仿宋_GB2312"/>
          <w:kern w:val="0"/>
          <w:sz w:val="32"/>
          <w:szCs w:val="32"/>
          <w:highlight w:val="none"/>
        </w:rPr>
        <w:t>倍行距</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首行缩进2字符。</w:t>
      </w:r>
    </w:p>
    <w:p w14:paraId="4EE6F8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英文字体：文中所有英文、数字、符号均采用Times New Roman字体。</w:t>
      </w:r>
    </w:p>
    <w:p w14:paraId="25A8409E">
      <w:bookmarkStart w:id="1" w:name="_GoBack"/>
      <w:bookmarkEnd w:id="1"/>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9B36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10B87">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0B10B87">
                    <w:pPr>
                      <w:pStyle w:val="2"/>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E0B07"/>
    <w:rsid w:val="5D3E0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customStyle="1" w:styleId="5">
    <w:name w:val="摘要-中"/>
    <w:basedOn w:val="1"/>
    <w:next w:val="1"/>
    <w:qFormat/>
    <w:uiPriority w:val="0"/>
    <w:pPr>
      <w:adjustRightInd w:val="0"/>
      <w:ind w:left="200" w:leftChars="200" w:right="200" w:rightChars="200"/>
    </w:pPr>
    <w:rPr>
      <w:rFonts w:eastAsia="Times New Roman"/>
      <w:sz w:val="18"/>
      <w:szCs w:val="18"/>
    </w:rPr>
  </w:style>
  <w:style w:type="paragraph" w:customStyle="1" w:styleId="6">
    <w:name w:val="关键词-中"/>
    <w:basedOn w:val="1"/>
    <w:qFormat/>
    <w:uiPriority w:val="0"/>
    <w:pPr>
      <w:adjustRightInd w:val="0"/>
      <w:spacing w:after="100" w:afterLines="100"/>
      <w:ind w:left="200" w:leftChars="200" w:right="200" w:rightChars="200"/>
    </w:pPr>
    <w:rPr>
      <w:rFonts w:eastAsia="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2026-06-25T05:59:00Z</dcterms:created>
  <dc:creator>彩虹猫</dc:creator>
  <cp:lastModifiedBy>彩虹猫</cp:lastModifiedBy>
  <dcterms:modified xsi:type="dcterms:W3CDTF">2026-06-25T05:59:16Z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3C7CE9FD6B9848A1A184ACF40E7E7F64_11</vt:lpwstr>
  </property>
  <property fmtid="{D5CDD505-2E9C-101B-9397-08002B2CF9AE}" pid="4" name="KSOTemplateDocerSaveRecord">
    <vt:lpwstr>eyJoZGlkIjoiMGI4ZWJmMGQ5NzU2YTIzM2FjZDFlNzZkODk1MTNhZGQiLCJ1c2VySWQiOiI0Mjc1NDUwMTgifQ==</vt:lpwstr>
  </property>
</Properties>
</file>